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C64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55CA6" w:rsidP="00204B6A">
            <w:pPr>
              <w:jc w:val="left"/>
              <w:rPr>
                <w:sz w:val="20"/>
              </w:rPr>
            </w:pPr>
          </w:p>
          <w:p w:rsidR="00A77B3E" w:rsidRDefault="00955CA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55CA6">
      <w:bookmarkStart w:id="0" w:name="_GoBack"/>
      <w:bookmarkEnd w:id="0"/>
    </w:p>
    <w:p w:rsidR="00A77B3E" w:rsidRDefault="00955CA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55CA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55CA6">
      <w:pPr>
        <w:keepNext/>
        <w:spacing w:after="480"/>
        <w:jc w:val="center"/>
      </w:pPr>
      <w:r>
        <w:rPr>
          <w:b/>
        </w:rPr>
        <w:t xml:space="preserve">w sprawie zmiany Wieloletniej Prognozy Finansowej Miasta i Gminy Serock na </w:t>
      </w:r>
      <w:r>
        <w:rPr>
          <w:b/>
        </w:rPr>
        <w:t>lata 2020 – 2034</w:t>
      </w:r>
    </w:p>
    <w:p w:rsidR="00A77B3E" w:rsidRDefault="00955CA6">
      <w:pPr>
        <w:keepLines/>
        <w:spacing w:before="120" w:after="120"/>
        <w:ind w:firstLine="227"/>
      </w:pPr>
      <w:r>
        <w:t>Na podstawie art. 18 ust. 2 pkt 10 i pkt 15 ustawy z dnia 8 marca 1990r. o samorządzie gminnym (Dz.U. z 2020r. poz. 713) oraz art. 226, art. 227, art. 228, art. 233, art. 243 i art. 258 ustawy z dnia 27 sierpnia 2009r. o finansach publiczn</w:t>
      </w:r>
      <w:r>
        <w:t>ych (Dz.U. z 2019r., poz. 869 z późn. zm.), Rada Miejska w Serocku uchwala co następuje:</w:t>
      </w:r>
    </w:p>
    <w:p w:rsidR="00A77B3E" w:rsidRDefault="00955C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Wieloletnią Prognozę Finansową Miasta i Gminy Serock na lata 2020 – 2034, zgodnie z załącznikiem nr 1 do niniejszej uchwały.</w:t>
      </w:r>
    </w:p>
    <w:p w:rsidR="00A77B3E" w:rsidRDefault="00955C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wykaz pr</w:t>
      </w:r>
      <w:r>
        <w:rPr>
          <w:color w:val="000000"/>
          <w:u w:color="000000"/>
        </w:rPr>
        <w:t>zedsięwzięć do WPF, zgodnie z załącznikiem nr 2 do niniejszej uchwały.</w:t>
      </w:r>
    </w:p>
    <w:p w:rsidR="00A77B3E" w:rsidRDefault="00955C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55CA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 i podlega ogłoszeniu w trybie przewidzianym dla aktów prawa miejscowego.</w:t>
      </w:r>
    </w:p>
    <w:p w:rsidR="00DC6401" w:rsidRDefault="00955CA6">
      <w:pPr>
        <w:pStyle w:val="Normal0"/>
        <w:keepNext/>
        <w:spacing w:after="480"/>
        <w:jc w:val="center"/>
        <w:rPr>
          <w:u w:color="000000"/>
        </w:rPr>
      </w:pPr>
      <w:r>
        <w:rPr>
          <w:b/>
          <w:color w:val="000000"/>
          <w:u w:color="000000"/>
        </w:rPr>
        <w:lastRenderedPageBreak/>
        <w:br/>
        <w:t xml:space="preserve">Objaśnienia </w:t>
      </w:r>
      <w:r>
        <w:rPr>
          <w:b/>
          <w:color w:val="000000"/>
          <w:u w:color="000000"/>
        </w:rPr>
        <w:t xml:space="preserve">przyjętych wartości w Wieloletniej Prognozie Finansowej </w:t>
      </w:r>
      <w:r>
        <w:rPr>
          <w:b/>
          <w:color w:val="000000"/>
          <w:u w:color="000000"/>
        </w:rPr>
        <w:br/>
        <w:t xml:space="preserve">Miasta i Gminy Serock </w:t>
      </w:r>
      <w:r>
        <w:rPr>
          <w:b/>
          <w:color w:val="000000"/>
          <w:u w:color="000000"/>
        </w:rPr>
        <w:br/>
        <w:t>na lata 2020 – 2034</w:t>
      </w:r>
    </w:p>
    <w:p w:rsidR="00DC6401" w:rsidRDefault="00955CA6">
      <w:pPr>
        <w:pStyle w:val="Normal0"/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Wieloletnia Prognoza Finansowa Miasta i Gminy Serock obejmuje lata 2020 – 2034. Okres ten, zgodnie z art. 227 ustawy o finansach publicznych, pokrywa się </w:t>
      </w:r>
      <w:r>
        <w:rPr>
          <w:u w:color="000000"/>
        </w:rPr>
        <w:t>z okresem realizacji kontynuowanych i planowanych przedsięwzięć, które wykazano w załączniku nr 2 oraz okresem spłaty zobowiązań już zaciągniętych, a także planowanych do zaciągnięcia. Opracowując prognozę na lata następne kierowano się wykonaniem dochodów</w:t>
      </w:r>
      <w:r>
        <w:rPr>
          <w:u w:color="000000"/>
        </w:rPr>
        <w:t xml:space="preserve"> i wydatków poprzednich lat. Wartości ujęte w poszczególnych latach zostały zaplanowane ze szczególną ostrożnością i w ujęciu realnym.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u w:val="single" w:color="000000"/>
        </w:rPr>
        <w:t>Prognoza dochodów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Planowane wielkości dochodów na rok 2020 przyjęto na podstawie: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-określonych wstępnych kwot dotacji </w:t>
      </w:r>
      <w:r>
        <w:rPr>
          <w:color w:val="000000"/>
          <w:u w:color="000000"/>
        </w:rPr>
        <w:t>celowych na zadania rządowe i własne przekazywane przez Wojewodę Mazowieckiego i z Krajowego Biura Wyborczego,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-określonych wstępnych kwot subwencji ogólnej i przewidywanego udziału gminy w podatku dochodowym od osób fizycznych przekazane przez Ministra Fi</w:t>
      </w:r>
      <w:r>
        <w:rPr>
          <w:color w:val="000000"/>
          <w:u w:color="000000"/>
        </w:rPr>
        <w:t>nansów,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-określonych wpływów z tytułu zawartych umów i porozumień między jednostkami samorządu terytorialnego,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-innych wpływów stanowiących dochody gminy, uiszczanych na podstawie odrębnych przepisów (m.in. wpływy z podatków lokalnych, opłaty </w:t>
      </w:r>
      <w:proofErr w:type="spellStart"/>
      <w:r>
        <w:rPr>
          <w:color w:val="000000"/>
          <w:u w:color="000000"/>
        </w:rPr>
        <w:t>adiacenckiej</w:t>
      </w:r>
      <w:proofErr w:type="spellEnd"/>
      <w:r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opłaty za wieczyste użytkowanie, odsetki od środków na rachunkach bankowych, itp.),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-wpływy z tytułu sprzedaży majątku.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Prognozę dochodów bieżących na lata kolejne sporządzono w oparciu o wskaźniki makroekonomiczne podane przez Ministra Finansów na potrze</w:t>
      </w:r>
      <w:r>
        <w:rPr>
          <w:color w:val="000000"/>
          <w:u w:color="000000"/>
        </w:rPr>
        <w:t>by wieloletniej prognozy finansowej oraz zweryfikowane dane budżetowe będące wynikiem analizy danych dotyczących wykonania budżetu za ostatnie 3 lata. W Wieloletniej Prognozie Finansowej założono wzrost wpływów PIT, CIT do budżetu gminy, które są uzależnio</w:t>
      </w:r>
      <w:r>
        <w:rPr>
          <w:color w:val="000000"/>
          <w:u w:color="000000"/>
        </w:rPr>
        <w:t>ne od tempa koniunktury gospodarczej określonej tempem wzrostu PKB oraz wzrostu zysku uzyskiwanego przez przedsiębiorców. Stopniowo też wzrasta liczba mieszkańców gminy, co pozwala planować systematyczny wzrost wpływów z podatków i opłat lokalnych. Planuje</w:t>
      </w:r>
      <w:r>
        <w:rPr>
          <w:color w:val="000000"/>
          <w:u w:color="000000"/>
        </w:rPr>
        <w:t xml:space="preserve"> się również wzrost dotacji z budżetu państwa, który wynika z przekazywanej dotacji z Mazowieckiego Urzędu Wojewódzkiego na realizację programów rządowych „Rodzina 500+”, „Dobry start” i innych zadań zleconych.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na okres wieloletniej progn</w:t>
      </w:r>
      <w:r>
        <w:rPr>
          <w:color w:val="000000"/>
          <w:u w:color="000000"/>
        </w:rPr>
        <w:t>ozy finansowej oszacowano na podstawie możliwości własnych gminy, pozyskiwania środków zewnętrznych w ramach regionalnych programów operacyjnych województwa mazowieckiego i budżetu unii europejskiej oraz możliwości pozyskiwania środków w formie dotacji cel</w:t>
      </w:r>
      <w:r>
        <w:rPr>
          <w:color w:val="000000"/>
          <w:u w:color="000000"/>
        </w:rPr>
        <w:t>owych z budżetu państwa. W zakresie dochodów majątkowych wykazano również dochody ze sprzedaży majątku, których to wielkość przyjęto na podstawie danych uzyskanych z Referatu Geodezji i Gospodarki Nieruchomościami.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Planowana sprzedaż mienia gminnego na kwo</w:t>
      </w:r>
      <w:r>
        <w:rPr>
          <w:color w:val="000000"/>
          <w:u w:color="000000"/>
        </w:rPr>
        <w:t>tę 1.750.000 zł uwzględniona w WPF na 2020r. obejmuje: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      wpływy ze sprzedaży 1 lokalu mieszkalnego dotychczasowym najemcom – 50.000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       wpływy ze sprzedaży gruntów w wysokości 1.700.000 zł, w tym: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        działka nr 137/2 o pow. 0,1097 h</w:t>
      </w:r>
      <w:r>
        <w:rPr>
          <w:color w:val="000000"/>
          <w:u w:color="000000"/>
        </w:rPr>
        <w:t xml:space="preserve">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 xml:space="preserve">. Wola </w:t>
      </w:r>
      <w:proofErr w:type="spellStart"/>
      <w:r>
        <w:rPr>
          <w:color w:val="000000"/>
          <w:u w:color="000000"/>
        </w:rPr>
        <w:t>Smolana</w:t>
      </w:r>
      <w:proofErr w:type="spellEnd"/>
      <w:r>
        <w:rPr>
          <w:color w:val="000000"/>
          <w:u w:color="000000"/>
        </w:rPr>
        <w:t>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137/4 o pow. 0,1077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 xml:space="preserve">. Wola </w:t>
      </w:r>
      <w:proofErr w:type="spellStart"/>
      <w:r>
        <w:rPr>
          <w:color w:val="000000"/>
          <w:u w:color="000000"/>
        </w:rPr>
        <w:t>Smolana</w:t>
      </w:r>
      <w:proofErr w:type="spellEnd"/>
      <w:r>
        <w:rPr>
          <w:color w:val="000000"/>
          <w:u w:color="000000"/>
        </w:rPr>
        <w:t>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344/5 i 345/4 o pow. 0,1225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Skubianka,      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30/3 o pow. 0,1604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Skubianka,             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30/4 </w:t>
      </w:r>
      <w:r>
        <w:rPr>
          <w:color w:val="000000"/>
          <w:u w:color="000000"/>
        </w:rPr>
        <w:t xml:space="preserve">o pow. 0,1600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Skubianka,             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30/5 o pow. 0,1600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Skubianka,             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-         działka nr 30/6 o pow. 0,2164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Skubianka,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84/1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        dział</w:t>
      </w:r>
      <w:r>
        <w:rPr>
          <w:color w:val="000000"/>
          <w:u w:color="000000"/>
        </w:rPr>
        <w:t xml:space="preserve">ka nr 84/2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84/3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84/4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84/5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        dział</w:t>
      </w:r>
      <w:r>
        <w:rPr>
          <w:color w:val="000000"/>
          <w:u w:color="000000"/>
        </w:rPr>
        <w:t xml:space="preserve">ka nr 84/6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84/7 o pow. 0,2200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84/8 o pow. 0,2319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Zalesie Borowe,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        działka nr 56/14 o pow. 0,1923 ha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02 w Serocku.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w/w działek </w:t>
      </w:r>
      <w:r>
        <w:rPr>
          <w:color w:val="000000"/>
          <w:u w:color="000000"/>
        </w:rPr>
        <w:t>planuje się sprzedaż części nieruchomości do osiągnięcia planowanych wpływów ze sprzedaży gruntów. Natomiast wartość wszystkich nieruchomości, na które Rada Miejska w Serocku wyraziła zgodę w formie uchwały, została wyceniona na podstawie operatów szacunko</w:t>
      </w:r>
      <w:r>
        <w:rPr>
          <w:color w:val="000000"/>
          <w:u w:color="000000"/>
        </w:rPr>
        <w:t>wych, wykonanych przez rzeczoznawcę majątkowego na ogólną kwotę 1.774.000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Prognoza wydatków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Planowane wielkości wydatków na rok 2020 przyjęto w wysokości określonej w projekcie uchwały budżetowej w zakresie wydatków bieżących i wydatków majątkowych.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</w:t>
      </w:r>
      <w:r>
        <w:rPr>
          <w:i/>
          <w:color w:val="000000"/>
          <w:u w:color="000000"/>
        </w:rPr>
        <w:t>ydatki bieżące</w:t>
      </w:r>
      <w:r>
        <w:rPr>
          <w:color w:val="000000"/>
          <w:u w:color="000000"/>
        </w:rPr>
        <w:t xml:space="preserve"> to wydatki jednostek organizacyjnych gminy określone w szczegółowości wynikającej z przepisów, dotacje na zadania bieżące, świadczenia na rzecz osób fizycznych oraz wydatki na obsługę długu.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Prognozę wydatków bieżących z wyłączeniem wynagrod</w:t>
      </w:r>
      <w:r>
        <w:rPr>
          <w:color w:val="000000"/>
          <w:u w:color="000000"/>
        </w:rPr>
        <w:t>zeń i pochodnych na kolejne lata sporządzono przy założeniu ich wzrostu o wskaźnik wzrostu cen towarów i usług konsumpcyjnych podanych przez Ministra Finansów na potrzeby wieloletniej prognozy finansowej.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Wydatki majątkowe</w:t>
      </w:r>
      <w:r>
        <w:rPr>
          <w:color w:val="000000"/>
          <w:u w:color="000000"/>
        </w:rPr>
        <w:t xml:space="preserve"> to inwestycje i zakupy inwestycyj</w:t>
      </w:r>
      <w:r>
        <w:rPr>
          <w:color w:val="000000"/>
          <w:u w:color="000000"/>
        </w:rPr>
        <w:t>ne oraz wydatki majątkowe.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Wieloletniej Prognozie Finansowej została zachowana zasada, zgodnie z którą planowane wydatki bieżące są niższe niż planowane dochody bieżące.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Wydatki na obsługę długu 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Wydatki na obsługę długu zaplanowano zgodnie z oprocentow</w:t>
      </w:r>
      <w:r>
        <w:rPr>
          <w:color w:val="000000"/>
          <w:u w:color="000000"/>
        </w:rPr>
        <w:t>aniem wynikającym z zawartych umów, dotyczących zaciągnięcia pożyczek i kredytów oraz wyemitowanych obligacji komunalnych gminy w latach poprzednich.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Wypracowana nadwyżka budżetowa w poszczególnych latach budżetowych przeznaczona będzie na spłatę zaciągnię</w:t>
      </w:r>
      <w:r>
        <w:rPr>
          <w:color w:val="000000"/>
          <w:u w:color="000000"/>
        </w:rPr>
        <w:t>tych pożyczek i kredytów oraz wykup papierów wartościowych.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Przychody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 roku 2020 planuje się wpływy z tytułu emisji obligacji komunalnych w wysokości 5.631.425 zł i pożyczek w wysokości 4.605.303 zł oraz zaangażowanie wolnych środków w łącznej wysokości </w:t>
      </w:r>
      <w:r>
        <w:rPr>
          <w:color w:val="000000"/>
          <w:u w:color="000000"/>
        </w:rPr>
        <w:t>2.911.656,06 zł stanowiące nadwyżkę: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1.środków pieniężnych na rachunku bieżącym budżetu gminy, wynikającą z rozliczeń wyemitowanych papierów wartościowych, kredytów i pożyczek z lat ubiegłych w  wysokości 1.723.040,49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2.wynikającą z rozliczenia niewyko</w:t>
      </w:r>
      <w:r>
        <w:rPr>
          <w:color w:val="000000"/>
          <w:u w:color="000000"/>
        </w:rPr>
        <w:t xml:space="preserve">rzystanych środków pieniężnych na rachunku bieżącym budżetu gminy, wynikającej z rozliczenia dochodów i wydatków nimi finansowanych związanych ze szczególnymi zasadami wykonywania budżetu określonymi w odrębnych ustawach w wysokość 681.292,85 zł, na którą </w:t>
      </w:r>
      <w:r>
        <w:rPr>
          <w:color w:val="000000"/>
          <w:u w:color="000000"/>
        </w:rPr>
        <w:t>składają się: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1)rozliczenie dochodów z tytułu wydawania zezwoleń na sprzedaż napojów alkoholowych oraz wydatków na realizację zadań określonych w gminnym programie profilaktyki i rozwiązywania problemów alkoholowych - kwota 379.102,22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2)rozliczenie doc</w:t>
      </w:r>
      <w:r>
        <w:rPr>
          <w:color w:val="000000"/>
          <w:u w:color="000000"/>
        </w:rPr>
        <w:t>hodów z opłat i kar pieniężnych za korzystanie ze środowiska oraz wydatków w zakresie ochrony środowiska - kwota 690,63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3)dofinansowanie w wysokości 301.500 zł z funduszu dróg samorządowych na podstawie podpisanej umowy z Wojewodą Mazowieckim z przezna</w:t>
      </w:r>
      <w:r>
        <w:rPr>
          <w:color w:val="000000"/>
          <w:u w:color="000000"/>
        </w:rPr>
        <w:t>czeniem na dofinansowanie realizacji zadania inwestycyjnego pn. „Budowa ulicy Książęcej wraz z infrastrukturą w Jadwisinie”.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3.środków pieniężnych na rachunku bieżącym budżetu gminy, wynikających z rozliczenia środków określonych w art. 5 ust. 1 pkt 2 usta</w:t>
      </w:r>
      <w:r>
        <w:rPr>
          <w:color w:val="000000"/>
          <w:u w:color="000000"/>
        </w:rPr>
        <w:t>wy i dotacji na realizację programu, projektu lub zadania finansowanego z udziałem tych środków w  wysokości 507.322,72 zł, na którą składają się n/w projekty: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1)Kluby Kluczowych Kompetencji – kwota 227.583,28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2)Przyjazny OPS – kwota 201.363,61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3)K</w:t>
      </w:r>
      <w:r>
        <w:rPr>
          <w:color w:val="000000"/>
          <w:u w:color="000000"/>
        </w:rPr>
        <w:t>ompleksowe Usługi Społeczne – kwota 78.375,83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Rozchody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Rozchody budżetu stanowiące w całości wykup obligacji komunalnych, spłaty rat kredytów i pożyczek już zaciągniętych oraz planowanych do zaciągnięcia zobowiązań dłużnych zostały ujęte w Wieloletnie</w:t>
      </w:r>
      <w:r>
        <w:rPr>
          <w:color w:val="000000"/>
          <w:u w:color="000000"/>
        </w:rPr>
        <w:t>j Prognozie Finansowej na podstawie zawartych umów oraz na podstawie planowanych harmonogramów spłat.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Wskaźnik maksymalnego obciążenia z tytułu spłaty długu gminy został ustalony zgodnie z art. 243 ustawy o finansach publicznych, jako średnia arytmetyczna </w:t>
      </w:r>
      <w:r>
        <w:rPr>
          <w:color w:val="000000"/>
          <w:u w:color="000000"/>
        </w:rPr>
        <w:t>obliczona dla ostatnich trzech lat relacji jej dochodów bieżących powiększonych o dochody ze sprzedaży majątku pomniejszony o wydatki bieżące do dochodów ogółem budżetu. Planowane udziały spłat zobowiązań dłużnych w dochodach ogółem w kolejnych latach budż</w:t>
      </w:r>
      <w:r>
        <w:rPr>
          <w:color w:val="000000"/>
          <w:u w:color="000000"/>
        </w:rPr>
        <w:t>etowych nie przekraczają wskaźników wyliczanych zgodnie z art. 243 ustawy o finansach publicznych.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Zobowiązania z tytułu spłaty rat kredytów, pożyczek oraz wykupu obligacji komunalnych w 2020r. zmniejszono o kwotę 82.272 zł, z uwagi na niższą kwotę zaciągn</w:t>
      </w:r>
      <w:r>
        <w:rPr>
          <w:color w:val="000000"/>
          <w:u w:color="000000"/>
        </w:rPr>
        <w:t>iętych pożyczek z 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 xml:space="preserve"> niż pierwotnie planowano. Zobowiązania po zmianie wynoszą 3.898.497,91 zł i dotyczą: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spłata rat kredytów – 66.842,08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spłata rat pożyczek – 501.655,83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wykup obligacji komunalnych – 3.330.000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Kwota długu Miasta </w:t>
      </w:r>
      <w:r>
        <w:rPr>
          <w:b/>
          <w:color w:val="000000"/>
          <w:u w:val="single" w:color="000000"/>
        </w:rPr>
        <w:t>i Gminy Serock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Wskaźniki określone na podstawie relacji, o której mowa w art. 243 ustawy z dnia 27.08.2009r. o finansach publicznych zawarte są w załączniku nr 1 do WPF.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Kwota wykazana jako dług na koniec każdego roku jest wynikiem działania: dług z poprz</w:t>
      </w:r>
      <w:r>
        <w:rPr>
          <w:color w:val="000000"/>
          <w:u w:color="000000"/>
        </w:rPr>
        <w:t>edniego roku plus zaciągnięty nowy dług minus spłata długu.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latach 2024 - 2034 prognozowane dochody budżetu Gminy będą zamykały się wynikiem dodatnim. Planowaną nadwyżkę w tych latach planuje się przeznaczyć na spłatę rat kapitałowych od zaciągniętych i </w:t>
      </w:r>
      <w:r>
        <w:rPr>
          <w:color w:val="000000"/>
          <w:u w:color="000000"/>
        </w:rPr>
        <w:t>planowanych do zaciągnięcia kredytów, pożyczek i emisji obligacji komunalnych.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Przeprowadzono symulację poziomu spłaty zaciągniętego zadłużenia, w wyniku którego stwierdzono możliwość zaciągania zobowiązań na kolejne lata.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Gmina zaciągnęła pożyczkę w kwoc</w:t>
      </w:r>
      <w:r>
        <w:rPr>
          <w:color w:val="000000"/>
          <w:u w:color="000000"/>
        </w:rPr>
        <w:t>ie niższej o 9.100 zł od planowanej z Wojewódzkiego Funduszu Ochrony Środowiska i Gospodarki Wodnej, w związku z realizacją zadania inwestycyjnego pn.: „Poprawa efektywności energetycznej na terenie gminy Serock”. Pożyczka została przyznana w niższej wysok</w:t>
      </w:r>
      <w:r>
        <w:rPr>
          <w:color w:val="000000"/>
          <w:u w:color="000000"/>
        </w:rPr>
        <w:t>ości z uwagi na niższe koszty kwalifikowane wydatków. Ponadto zrezygnowano z zaciągnięcia dwóch pożyczek również z Wojewódzkiego Funduszu Ochrony Środowiska i Gospodarki Wodnej w wysokości 150.000 zł na zadanie pn.: „Budowa kanalizacji sanitarnej Serock ul</w:t>
      </w:r>
      <w:r>
        <w:rPr>
          <w:color w:val="000000"/>
          <w:u w:color="000000"/>
        </w:rPr>
        <w:t>. Słodka” oraz w wysokości 400.000 zł na zadanie pn.: „Budowa kanalizacji sanitarnej rejon Borowa Góra - Dosin - Skubianka - Jachranka - Izbica, Dębe”, w związku z przesunięciem terminu realizacji zadań na lata następne.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Powyższe wpłynęło na zmniejszenie r</w:t>
      </w:r>
      <w:r>
        <w:rPr>
          <w:color w:val="000000"/>
          <w:u w:color="000000"/>
        </w:rPr>
        <w:t>ozchodów w poszczególnych latach, zgodnie z załącznikiem nr 1 do niniejszej uchwały oraz kwoty długu, która na koniec 2020r. wynosiłaby 31.457.080,75 zł. (zmniejszenie o kwotę 559.100 zł.).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Przedsięwzięcia wieloletniej prognozy finansowej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Przedsięwzięcia w</w:t>
      </w:r>
      <w:r>
        <w:rPr>
          <w:color w:val="000000"/>
          <w:u w:color="000000"/>
        </w:rPr>
        <w:t>ieloletniej prognozy finansowej obejmują lata 2012 – 2025 i dotyczą: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-realizacji przedsięwzięć z poniesionymi wydatkami przed przyjęciem wieloletniej prognozy finansowej i wydatków zakładanych do poniesienia w latach następnych do końca okresu realizacji p</w:t>
      </w:r>
      <w:r>
        <w:rPr>
          <w:color w:val="000000"/>
          <w:u w:color="000000"/>
        </w:rPr>
        <w:t>rzedsięwzięć,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-limity wydatków na przedsięwzięcia w poszczególnych latach, które wyznaczają wielkości dla budżetów w każdym roku realizacji danego przedsięwzięcia aż do jego zakończenia,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-limity zobowiązań.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przedsięwzięć zaplanowano wydatki na: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</w:t>
      </w:r>
      <w:r>
        <w:rPr>
          <w:color w:val="000000"/>
          <w:u w:color="000000"/>
        </w:rPr>
        <w:t>programy, projekty lub zadania związane z programami realizowanymi z udziałem środków, o których mowa w art. 5 ust. 1 pkt 2 i 3 ustawy z dnia 27.08.2009r. o finansach publicznych,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b)programy, projekty oraz zadania pozostałe.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Wprowadzono również nowe przed</w:t>
      </w:r>
      <w:r>
        <w:rPr>
          <w:color w:val="000000"/>
          <w:u w:color="000000"/>
        </w:rPr>
        <w:t>sięwzięcia z prognozą ich finansowania od prac projektowych do realizacji budowy i dotyczą m.in.: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-dowożenie uczniów do szkół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-programów polityki zdrowotnej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-budowy magistrali wodociągowej w Serocku ul. Mickiewicza, ul. Słowackiego, ul. Żytnia oraz w </w:t>
      </w:r>
      <w:proofErr w:type="spellStart"/>
      <w:r>
        <w:rPr>
          <w:color w:val="000000"/>
          <w:u w:color="000000"/>
        </w:rPr>
        <w:t>msc</w:t>
      </w:r>
      <w:proofErr w:type="spellEnd"/>
      <w:r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Marynino, Karolino, Dębinki, Dębe – Bolesławowo,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-budowa ul. Kuligowskiego i ul. </w:t>
      </w:r>
      <w:proofErr w:type="spellStart"/>
      <w:r>
        <w:rPr>
          <w:color w:val="000000"/>
          <w:u w:color="000000"/>
        </w:rPr>
        <w:t>Nodzykowskiego</w:t>
      </w:r>
      <w:proofErr w:type="spellEnd"/>
      <w:r>
        <w:rPr>
          <w:color w:val="000000"/>
          <w:u w:color="000000"/>
        </w:rPr>
        <w:t xml:space="preserve"> w Serocku,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-budowa punktów świetlnych w Jachrance.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Poszczególne zadania przyjęte w wykazie przedsięwzięć określa załącznik nr 2 do Wieloletniej Prognozy Finans</w:t>
      </w:r>
      <w:r>
        <w:rPr>
          <w:color w:val="000000"/>
          <w:u w:color="000000"/>
        </w:rPr>
        <w:t>owej Miasta i Gminy Serock.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Wieloletniej Prognozie Finansowej dostosowano rok 2019 do wykonania budżetu, zgodnie ze sprawozdawczością.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 związku z wprowadzonymi zmianami w budżecie zwiększa się plan dochodów na rok 2020r. o kwotę </w:t>
      </w:r>
      <w:r>
        <w:rPr>
          <w:b/>
          <w:color w:val="000000"/>
          <w:u w:color="000000"/>
        </w:rPr>
        <w:t>3.406.802,81</w:t>
      </w:r>
      <w:r>
        <w:rPr>
          <w:color w:val="000000"/>
          <w:u w:color="000000"/>
        </w:rPr>
        <w:t xml:space="preserve"> zł., na którą składa się: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zwiększenie dochodów bieżących o kwotę 1.046.975,81 zł z tytułu: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-otrzymania informacji o zmianach w planie dotacji na 2020r. z Mazowieckiego Urzędu Wojewódzkiego – zwiększenie o łączną kwotę 772.063,80 zł z przeznaczeniem na: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üdofinansowanie</w:t>
      </w:r>
      <w:proofErr w:type="spellEnd"/>
      <w:r>
        <w:rPr>
          <w:color w:val="000000"/>
          <w:u w:color="000000"/>
        </w:rPr>
        <w:t xml:space="preserve"> rozwoju przewozów autobusowych o charakterze użyteczności publicznej w wysokości 654.822,80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üwyposażenie</w:t>
      </w:r>
      <w:proofErr w:type="spellEnd"/>
      <w:r>
        <w:rPr>
          <w:color w:val="000000"/>
          <w:u w:color="000000"/>
        </w:rPr>
        <w:t xml:space="preserve"> szkół w podręczniki, materiały edukacyjne lub materiały ćwiczeniowe oraz na sfinansowanie kosztu zakupu podręczników, materiałów e</w:t>
      </w:r>
      <w:r>
        <w:rPr>
          <w:color w:val="000000"/>
          <w:u w:color="000000"/>
        </w:rPr>
        <w:t>dukacyjnych lub materiałów ćwiczeniowych w przypadku szkół prowadzonych przez osoby prywatne inne niż jednostki samorządu terytorialnego lub osoby fizyczne – zgodnie z ustawą o finansowaniu zadań oświaty – zwiększenie o kwotę 41.376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üdofinansowanie</w:t>
      </w:r>
      <w:proofErr w:type="spellEnd"/>
      <w:r>
        <w:rPr>
          <w:color w:val="000000"/>
          <w:u w:color="000000"/>
        </w:rPr>
        <w:t xml:space="preserve"> wyp</w:t>
      </w:r>
      <w:r>
        <w:rPr>
          <w:color w:val="000000"/>
          <w:u w:color="000000"/>
        </w:rPr>
        <w:t>łaty zasiłków stałych i okresowych, o których mowa w art. 17 ust. 1 pkt 4 i 19 ustawy o pomocy społecznej – zwiększenie o kwotę 40.000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üdofinansowanie</w:t>
      </w:r>
      <w:proofErr w:type="spellEnd"/>
      <w:r>
        <w:rPr>
          <w:color w:val="000000"/>
          <w:u w:color="000000"/>
        </w:rPr>
        <w:t xml:space="preserve"> wypłat dodatku w wysokości 250 zł miesięcznie na pracownika socjalnego zatrudnionego w pełnym wymiarz</w:t>
      </w:r>
      <w:r>
        <w:rPr>
          <w:color w:val="000000"/>
          <w:u w:color="000000"/>
        </w:rPr>
        <w:t>e czasu pracy, realizującego pracę socjalną w środowisku – zwiększenie o kwotę 10.952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ürealizację</w:t>
      </w:r>
      <w:proofErr w:type="spellEnd"/>
      <w:r>
        <w:rPr>
          <w:color w:val="000000"/>
          <w:u w:color="000000"/>
        </w:rPr>
        <w:t xml:space="preserve"> zadań w ramach wieloletniego rządowego programu „Posiłek w szkole i w domu” – zwiększenie o kwotę 24.870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üsfinansowanie</w:t>
      </w:r>
      <w:proofErr w:type="spellEnd"/>
      <w:r>
        <w:rPr>
          <w:color w:val="000000"/>
          <w:u w:color="000000"/>
        </w:rPr>
        <w:t xml:space="preserve"> wypłat zryczałtowanych dodatkó</w:t>
      </w:r>
      <w:r>
        <w:rPr>
          <w:color w:val="000000"/>
          <w:u w:color="000000"/>
        </w:rPr>
        <w:t xml:space="preserve">w energetycznych dla odbiorców wrażliwych energii elektrycznej oraz kosztów obsługi tego zadania realizowanego przez gminy w wysokości 2% łącznej kwoty dotacji wypłaconej w gminie, zgodnie z przepisami ustawy z dnia 10 kwietnia 1997r. Prawo energetyczne – </w:t>
      </w:r>
      <w:r>
        <w:rPr>
          <w:color w:val="000000"/>
          <w:u w:color="000000"/>
        </w:rPr>
        <w:t>zwiększenie o kwotę 43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-uzyskania dotacji z Urzędu Statystycznego na realizację Powszechnego Spisu Rolnego 2020 zgodnie z ustawą o powszechnym spisie rolnym w 2020 w wysokości 27.055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-otrzymania dotacji z Krajowego Biura Wyborczego w kwocie 41.454 </w:t>
      </w:r>
      <w:r>
        <w:rPr>
          <w:color w:val="000000"/>
          <w:u w:color="000000"/>
        </w:rPr>
        <w:t>zł z przeznaczeniem na przygotowanie i przeprowadzenie II tury wyborów Prezydenta RP zarządzonych na dzień 12 lipca 2020r,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-uzyskania dofinansowania z Województwa Mazowieckiego w ramach: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üMazowieckiego</w:t>
      </w:r>
      <w:proofErr w:type="spellEnd"/>
      <w:r>
        <w:rPr>
          <w:color w:val="000000"/>
          <w:u w:color="000000"/>
        </w:rPr>
        <w:t xml:space="preserve"> Instrumentu Wsparcia Ochrony Powietrza MAZOWSZE 2020 r</w:t>
      </w:r>
      <w:r>
        <w:rPr>
          <w:color w:val="000000"/>
          <w:u w:color="000000"/>
        </w:rPr>
        <w:t>. na zadanie pn. „Zakup oczyszczaczy powietrza dla wybranych placówek oświatowych z terenu Miasta i Gminy Serock” w wysokości 50.600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üPlanu</w:t>
      </w:r>
      <w:proofErr w:type="spellEnd"/>
      <w:r>
        <w:rPr>
          <w:color w:val="000000"/>
          <w:u w:color="000000"/>
        </w:rPr>
        <w:t xml:space="preserve"> Działania Krajowej Sieci Obszarów Wiejskich na lata 2014-2020 na realizację dwóch operacji pn.: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·„Udział w Targa</w:t>
      </w:r>
      <w:r>
        <w:rPr>
          <w:color w:val="000000"/>
          <w:u w:color="000000"/>
        </w:rPr>
        <w:t>ch Turystycznych Wypoczynek 2020 Toruński Festiwal Smaków” - w wysokości 14.194,20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·„Budowa produktu turystyki wiejskiej szansą na rozwój obszarów wiejskich gminy Serock” – w kwocie 24.500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-uzyskania wyższych wpływów z różnych dochodów i opłat w łą</w:t>
      </w:r>
      <w:r>
        <w:rPr>
          <w:color w:val="000000"/>
          <w:u w:color="000000"/>
        </w:rPr>
        <w:t>cznej wysokości 117.108,81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zwiększenie dochodów majątkowych o kwotę 2.359.827 zł z tytułu: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-Mazowieckiego Instrumentu Aktywizacji Sołectw MAZOWSZE 2020” na realizację zadań inwestycyjnych w wysokości 50.000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-przyznania dotacji na zadanie pn. Rem</w:t>
      </w:r>
      <w:r>
        <w:rPr>
          <w:color w:val="000000"/>
          <w:u w:color="000000"/>
        </w:rPr>
        <w:t>ont zbiorowej mogiły żołnierzy poległych w 1920r. w ramach Programu „Groby i cmentarze wojenne w kraju” ze środków Ministerstwa Kultury i Dziedzictwa Narodowego pochodzących z Funduszu Promocji Kultury w wysokości 4.000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-przyznania dotacji z Rządowego </w:t>
      </w:r>
      <w:r>
        <w:rPr>
          <w:color w:val="000000"/>
          <w:u w:color="000000"/>
        </w:rPr>
        <w:t>Funduszu Inwestycji Lokalnych w kwocie 2.305.827 zł,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 związku z wprowadzonymi zmianami w budżecie zwiększa się plan wydatków na rok 2020r. o kwotę </w:t>
      </w:r>
      <w:r>
        <w:rPr>
          <w:b/>
          <w:color w:val="000000"/>
          <w:u w:color="000000"/>
        </w:rPr>
        <w:t>2.024.534,01 zł.,</w:t>
      </w:r>
      <w:r>
        <w:rPr>
          <w:color w:val="000000"/>
          <w:u w:color="000000"/>
        </w:rPr>
        <w:t xml:space="preserve"> na którą składają się: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zwiększenie wydatków bieżących o kwotę 661.846,10 zł i rozdys</w:t>
      </w:r>
      <w:r>
        <w:rPr>
          <w:color w:val="000000"/>
          <w:u w:color="000000"/>
        </w:rPr>
        <w:t>ponowuje się te środki dla poszczególnych jednostek w celu realizacji zadań im zleconych,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zwiększenie wydatków majątkowych o kwotę 1.362.687,91 zł, dostosowując nakłady finansowe do przewidywanego wykonania wydatków inwestycyjnych.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wprowadzeniu powyż</w:t>
      </w:r>
      <w:r>
        <w:rPr>
          <w:color w:val="000000"/>
          <w:u w:color="000000"/>
        </w:rPr>
        <w:t>szych zmian zmniejsza się deficyt budżetu o kwotę 1.382.268,80 zł.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Dokonuje się zmian w załączniku nr 2 polegających na dostosowaniu łącznych nakładów finansowych do potrzeb w następujących przedsięwzięciach: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wydatki bieżące</w:t>
      </w:r>
      <w:r>
        <w:rPr>
          <w:color w:val="000000"/>
          <w:u w:color="000000"/>
        </w:rPr>
        <w:t>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-„Dowożenie uczniów do szkół </w:t>
      </w:r>
      <w:r>
        <w:rPr>
          <w:color w:val="000000"/>
          <w:u w:color="000000"/>
        </w:rPr>
        <w:t xml:space="preserve">– Spełnienie ustawowego obowiązku bezpłatnego transportu i opieki w czasie przewozu dzieci i uczniów do szkół i przedszkoli” – zmniejsza się łączne nakłady finansowe o kwotę 263.000 zł, dostosowując je do wielkości szacowanego wykonania w 2020r, w związku </w:t>
      </w:r>
      <w:r>
        <w:rPr>
          <w:color w:val="000000"/>
          <w:u w:color="000000"/>
        </w:rPr>
        <w:t>z czasowym ograniczeniem funkcjonowania jednostek systemu oświaty w roku szkolnym 2019/2020 związanym z zapobieganiem, przeciwdziałaniem i zwalczaniem COVID – 19 i mniejszym korzystaniem z usług dowożenia,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-„Prowadzenie żywienia zbiorowego w szkołach i prz</w:t>
      </w:r>
      <w:r>
        <w:rPr>
          <w:color w:val="000000"/>
          <w:u w:color="000000"/>
        </w:rPr>
        <w:t>edszkolach 2019/2021 - Wspieranie prawidłowego rozwoju dzieci i uczniów, zapewnienie prawidłowej realizacji zadań opiekuńczych” – zmniejsza się łączne nakłady finansowe o kwotę 25.000 zł, dostosowując je do wielkości szacowanego wykonania w 2020r., w związ</w:t>
      </w:r>
      <w:r>
        <w:rPr>
          <w:color w:val="000000"/>
          <w:u w:color="000000"/>
        </w:rPr>
        <w:t>ku z czasowym ograniczeniem funkcjonowania jednostek systemu oświaty w roku szkolnym 2019/2020 związanym z zapobieganiem, przeciwdziałaniem i zwalczaniem COVID – 19 i mniejszym korzystaniem z usługi przegotowywania posiłków dla wychowanków przedszkola,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-„Prowadzenie żywienia zbiorowego w szkołach i przedszkolach 2019/2021 - Wspieranie prawidłowego rozwoju dzieci i uczniów, zapewnienie prawidłowej realizacji zadań opiekuńczych” – zmniejsza się łączne nakłady finansowe o kwotę 45.000 zł, dostosowując je do</w:t>
      </w:r>
      <w:r>
        <w:rPr>
          <w:color w:val="000000"/>
          <w:u w:color="000000"/>
        </w:rPr>
        <w:t xml:space="preserve"> wielkości szacowanego wykonania w 2020r. w związku z czasowym ograniczeniem funkcjonowania jednostek systemu oświaty w roku szkolnym 2019/2020 </w:t>
      </w:r>
      <w:r>
        <w:rPr>
          <w:color w:val="000000"/>
          <w:u w:color="000000"/>
        </w:rPr>
        <w:lastRenderedPageBreak/>
        <w:t>związanym z  zapobieganiem, przeciwdziałaniem i zwalczaniem COVID – 19 i mniejszym korzystaniem z usługi przegot</w:t>
      </w:r>
      <w:r>
        <w:rPr>
          <w:color w:val="000000"/>
          <w:u w:color="000000"/>
        </w:rPr>
        <w:t>owywania posiłków dla wychowanków oddziałów przedszkolnych i uczniów Szkoły Podstawowej oraz likwidacją od 01.09.2020r. oddziałów przedszkolnych w Szkole Podstawowej w Serocku.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nowe przedsięwzięcia pn.: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-„Zimowe utrzymanie dróg i chodników na</w:t>
      </w:r>
      <w:r>
        <w:rPr>
          <w:color w:val="000000"/>
          <w:u w:color="000000"/>
        </w:rPr>
        <w:t xml:space="preserve"> terenie Miasta i Gminy Serock w sezonie zimowym 2020/2021 - Zapewnienie bezpieczeństwa w ruchu samochodowym i pieszym na terenie Miasta i Gminy Serock” o łącznych nakładach finansowych w wysokości 800.000 zł, z uwagi na planowane uruchomienie procedury pr</w:t>
      </w:r>
      <w:r>
        <w:rPr>
          <w:color w:val="000000"/>
          <w:u w:color="000000"/>
        </w:rPr>
        <w:t>zetargowej na zimowe utrzymanie dróg, które ma na celu zapewnienie bezpieczeństwa w ruchu samochodowym i pieszym na terenie gminy,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−„Odbieranie i zagospodarowanie (odzysk lub unieszkodliwienie) odpadów komunalnych z terenu Miasta i Gminy Serock – Utrzymani</w:t>
      </w:r>
      <w:r>
        <w:rPr>
          <w:color w:val="000000"/>
          <w:u w:color="000000"/>
        </w:rPr>
        <w:t>e czystości i porządku na terenie Miasta i Gminy Serock” o łącznych nakładach finansowych w wysokości 6.000.000 zł., z uwagi na potrzebę uruchomienia procedury przetargowej w bieżącym roku.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wydatki majątkowe</w:t>
      </w:r>
      <w:r>
        <w:rPr>
          <w:color w:val="000000"/>
          <w:u w:color="000000"/>
        </w:rPr>
        <w:t>: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kanalizacji sanitarnej Borowa Góra - S</w:t>
      </w:r>
      <w:r>
        <w:rPr>
          <w:color w:val="000000"/>
          <w:u w:color="000000"/>
        </w:rPr>
        <w:t xml:space="preserve">tasi las ul. Słoneczna i drogi wewnętrzne dz. nr 125/4, 154/2, 154/7 - Poprawa jakości środowiska naturalnego” – zmniejsza się łączne nakłady finansowe o kwotę 33.000 zł, w związku ze zmniejszeniem zakresu realizacji umowy o przyłącza, na które mieszkańcy </w:t>
      </w:r>
      <w:r>
        <w:rPr>
          <w:color w:val="000000"/>
          <w:u w:color="000000"/>
        </w:rPr>
        <w:t>nie zadeklarowali chęci budowy,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kanalizacji sanitarnej Serock ul. Jaśminowa - Poprawa jakości środowiska naturalnego” – zmniejsza się łączne nakłady finansowe o kwotę 51.000 zł, w związku ze zmniejszeniem zakresu robót o przyłącza, na które mieszk</w:t>
      </w:r>
      <w:r>
        <w:rPr>
          <w:color w:val="000000"/>
          <w:u w:color="000000"/>
        </w:rPr>
        <w:t>ańcy nie zadeklarowali chęci budowy,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kanalizacji sanitarnej Wierzbica rejon ul. Wiosennej – Poprawa jakości środowiska naturalnego” – zmniejsza się łączne nakłady finansowe o kwotę 170.000 zł, w wyniku uzyskania korzystniejszej ceny w postępowaniu</w:t>
      </w:r>
      <w:r>
        <w:rPr>
          <w:color w:val="000000"/>
          <w:u w:color="000000"/>
        </w:rPr>
        <w:t xml:space="preserve">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-„Rozbudowa sieci kanalizacyjnej Borowa Góra - Stasi Las II etap - Poprawa jakości środowiska naturalnego” – zmniejsza się łączne nakłady finansowe o kwotę 230.000 zł, w wyniku uzyskania korzystniejszej ceny w postępowa</w:t>
      </w:r>
      <w:r>
        <w:rPr>
          <w:color w:val="000000"/>
          <w:u w:color="000000"/>
        </w:rPr>
        <w:t>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-„Przebudowa ul. Książęcej w Jadwisinie - Poprawa układu komunikacyjnego na terenie gminy” – zmniejsza się łączne nakłady finansowe o kwotę 41.000 zł, w związku z zakończeniem i rozliczeniem zadania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-„Modernizacja dr</w:t>
      </w:r>
      <w:r>
        <w:rPr>
          <w:color w:val="000000"/>
          <w:u w:color="000000"/>
        </w:rPr>
        <w:t xml:space="preserve">ogi gminnej </w:t>
      </w:r>
      <w:proofErr w:type="spellStart"/>
      <w:r>
        <w:rPr>
          <w:color w:val="000000"/>
          <w:u w:color="000000"/>
        </w:rPr>
        <w:t>Cupel</w:t>
      </w:r>
      <w:proofErr w:type="spellEnd"/>
      <w:r>
        <w:rPr>
          <w:color w:val="000000"/>
          <w:u w:color="000000"/>
        </w:rPr>
        <w:t xml:space="preserve"> ul. </w:t>
      </w:r>
      <w:proofErr w:type="spellStart"/>
      <w:r>
        <w:rPr>
          <w:color w:val="000000"/>
          <w:u w:color="000000"/>
        </w:rPr>
        <w:t>Arciechowska</w:t>
      </w:r>
      <w:proofErr w:type="spellEnd"/>
      <w:r>
        <w:rPr>
          <w:color w:val="000000"/>
          <w:u w:color="000000"/>
        </w:rPr>
        <w:t xml:space="preserve"> - Poprawa układu komunikacyjnego na terenie gminy” – zmniejsza się łączne nakłady finansowe o kwotę 243.000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-„Przebudowa nawie</w:t>
      </w:r>
      <w:r>
        <w:rPr>
          <w:color w:val="000000"/>
          <w:u w:color="000000"/>
        </w:rPr>
        <w:t>rzchni dróg gminnych Serock ul. Chrobrego, Łokietka, K. Wielkiego i Szczygielskiego - Poprawa układu komunikacyjnego na terenie gminy” – zmniejsza się łączne nakłady finansowe o kwotę 50.000 zł, (w roku 2020 zwiększa się nakłady o kwotę 250.000 zł a zmniej</w:t>
      </w:r>
      <w:r>
        <w:rPr>
          <w:color w:val="000000"/>
          <w:u w:color="000000"/>
        </w:rPr>
        <w:t>sza się w roku 2022 o kwotę 300.000 zł). W związku z wystąpieniem z wnioskiem o dofinansowanie z Rządowego Funduszu Inwestycji Lokalnych planuje się przyśpieszenie realizacji inwestycji,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-„Przebudowa ul. Polnej Serock - Wierzbica - Poprawa układu komunikac</w:t>
      </w:r>
      <w:r>
        <w:rPr>
          <w:color w:val="000000"/>
          <w:u w:color="000000"/>
        </w:rPr>
        <w:t>yjnego na terenie gminy” – zmniejsza się łączne nakłady finansowe o kwotę 176.000 zł, w związku z zakończeniem i rozliczeniem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ronda w Szadkach wraz z budową ścieżki rowerowej Serock - Wola Kiełpińska - Poprawa układu komunikacyjnego na te</w:t>
      </w:r>
      <w:r>
        <w:rPr>
          <w:color w:val="000000"/>
          <w:u w:color="000000"/>
        </w:rPr>
        <w:t>renie gminy” – zwiększa się łączne nakłady finansowe o kwotę 50.000 zł. Wypracowano warunki współpracy z zarządcami dróg uczestniczącymi w realizacji zadania, ustalono terminy i szacunkowe koszty. W celu uruchomienia postępowania konieczne jest zabezpiecze</w:t>
      </w:r>
      <w:r>
        <w:rPr>
          <w:color w:val="000000"/>
          <w:u w:color="000000"/>
        </w:rPr>
        <w:t>nie środków na rok 2021,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Borowa Góra - oświetlenie drogi gminnej - Poprawa bezpieczeństwa w ruchu drogowym” – zmniejsza się łączne nakłady finansowe o kwotę 40.000 zł, w związku z zakończeniem i rozliczeniem zadania.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</w:t>
      </w:r>
      <w:r>
        <w:rPr>
          <w:color w:val="000000"/>
          <w:u w:color="000000"/>
        </w:rPr>
        <w:t>nktów świetlnych Dębe - oświetlenie drogi gminnej - Poprawa bezpieczeństwa w ruchu drogowym” – zmniejsza się łączne nakłady finansowe o kwotę 60.000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-„Budowa pun</w:t>
      </w:r>
      <w:r>
        <w:rPr>
          <w:color w:val="000000"/>
          <w:u w:color="000000"/>
        </w:rPr>
        <w:t>któw świetlnych Stasi Las ul. Tęczowa - oświetlenie drogi gminnej - Poprawa bezpieczeństwa w ruchu drogowym” – zmniejsza się łączne nakłady finansowe o kwotę 22.000 zł, w związku z zakończeniem i rozliczeniem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Serock ul.</w:t>
      </w:r>
      <w:r>
        <w:rPr>
          <w:color w:val="000000"/>
          <w:u w:color="000000"/>
        </w:rPr>
        <w:t xml:space="preserve"> Słoneczna Polana, Błękitna - oświetlenie drogi gminnej - Poprawa bezpieczeństwa w ruchu drogowym” – zmniejsza się łączne nakłady finansowe o kwotę 54.000 zł, w związku z zakończeniem i rozliczeniem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Kania Nowa ul. Space</w:t>
      </w:r>
      <w:r>
        <w:rPr>
          <w:color w:val="000000"/>
          <w:u w:color="000000"/>
        </w:rPr>
        <w:t>rowa – oświetlenie drogi gminnej - Poprawa bezpieczeństwa w ruchu drogowym” – zmniejsza się łączne nakłady finansowe o kwotę 35.000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placu zabaw w Zegrzu</w:t>
      </w:r>
      <w:r>
        <w:rPr>
          <w:color w:val="000000"/>
          <w:u w:color="000000"/>
        </w:rPr>
        <w:t xml:space="preserve"> - Poprawa infrastruktury sportowo - rekreacyjnej na terenie gminy” – zmniejsza się łączne nakłady finansowe o kwotę 96.000 zł, w związku z zakończeniem i rozliczeniem zadania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stacji uzdatniania wody w miejscowości Stasi Las – Poprawa infrastruktu</w:t>
      </w:r>
      <w:r>
        <w:rPr>
          <w:color w:val="000000"/>
          <w:u w:color="000000"/>
        </w:rPr>
        <w:t>ry wodociągowej gminy” – zmniejsza się łączne nakłady finansowe o kwotę 10.000 zł, w związku z faktem, iż zadanie polegające na opracowaniu dokumentacji technicznej przeniesiono do realizacji przez MGZGW,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-„Rewitalizacja placu zabaw w m. Dębe - Poprawa inf</w:t>
      </w:r>
      <w:r>
        <w:rPr>
          <w:color w:val="000000"/>
          <w:u w:color="000000"/>
        </w:rPr>
        <w:t>rastruktury sportowo - rekreacyjnej na terenie gminy” – zwiększa się łączne nakłady finansowe o kwotę 300.000 zł, oraz przenosi się limit w wysokości 400.000 zł z roku 2022 do 2021. W związku z wystąpieniem z wnioskiem o przekazanie środków na inwestycje d</w:t>
      </w:r>
      <w:r>
        <w:rPr>
          <w:color w:val="000000"/>
          <w:u w:color="000000"/>
        </w:rPr>
        <w:t>o Rządowego Funduszu Inwestycji Lokalnych, przesuwa się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-„Modernizacja boiska sportowego w Wierzbicy - Poprawa infrastruktury sportowo - rekreacyjnej na terenie gminy” – zwiększa się łączne nakłady finansowe o kwotę 610.000 zł, w związk</w:t>
      </w:r>
      <w:r>
        <w:rPr>
          <w:color w:val="000000"/>
          <w:u w:color="000000"/>
        </w:rPr>
        <w:t>u z wystąpieniem z wnioskiem o przyznanie środków na inwestycję do Rządowego Funduszu Inwestycji Lokalnych,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ul. Mickiewicza i ul. Słowackiego w Serocku - Poprawa układu komunikacyjnego na terenie gminy” – zwiększa się łączne nakłady finansowe o kw</w:t>
      </w:r>
      <w:r>
        <w:rPr>
          <w:color w:val="000000"/>
          <w:u w:color="000000"/>
        </w:rPr>
        <w:t>otę 200.000 zł, (w roku 2020 zwiększa się nakłady o 600.000 zł a zmniejsza o kwotę 400.000 zł w roku 2021). W związku z wystąpieniem z wnioskiem o dofinansowanie z Rządowego Funduszu Inwestycji Lokalnych planuje się przyśpieszenie realizacji inwestycji,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</w:t>
      </w:r>
      <w:r>
        <w:rPr>
          <w:color w:val="000000"/>
          <w:u w:color="000000"/>
        </w:rPr>
        <w:t>Rewitalizacja placu zabaw w Maryninie - Poprawa infrastruktury sportowo - rekreacyjnej na terenie gminy” – zwiększa się łączne nakłady finansowe o kwotę 658.887,91 zł, (nakłady roku 2020 zwiększa się o kwotę 608.887,91 zł, zwiększa się nakłady roku 2021 o </w:t>
      </w:r>
      <w:r>
        <w:rPr>
          <w:color w:val="000000"/>
          <w:u w:color="000000"/>
        </w:rPr>
        <w:t>kwotę 600.000 zł, zmniejsza się limit roku 2023 o kwotę 550.000 zł). W związku z wystąpieniem z wnioskiem o przekazanie środków na inwestycje do Rządowego Funduszu Inwestycji Lokalnych planuje się przyspieszenie realizacji inwestycji,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</w:t>
      </w:r>
      <w:r>
        <w:rPr>
          <w:color w:val="000000"/>
          <w:u w:color="000000"/>
        </w:rPr>
        <w:t>tlnych w Zabłociu - oświetlenie drogi gminnej - Poprawa bezpieczeństwa w ruchu drogowym” – zmniejsza się łączne nakłady finansowe o kwotę 25.000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</w:t>
      </w:r>
      <w:r>
        <w:rPr>
          <w:color w:val="000000"/>
          <w:u w:color="000000"/>
        </w:rPr>
        <w:t xml:space="preserve"> świetlnych Dosin ul. Oliwkowa - oświetlenie drogi gminnej - Poprawa bezpieczeństwa w ruchu drogowym” – zmniejsza się łączne nakłady finansowe o kwotę 50.000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</w:t>
      </w:r>
      <w:r>
        <w:rPr>
          <w:color w:val="000000"/>
          <w:u w:color="000000"/>
        </w:rPr>
        <w:t>udowa punktów świetlnych w m. Guty - oświetlenie drogi gminnej - Poprawa bezpieczeństwa w ruchu drogowym” – zmniejsza się łączne nakłady finansowe o kwotę 37.000 zł, w wyniku uzyskania korzystniejszej ceny w postępowaniu przetargowym na realizację zadania,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-„Budowa punktów świetlnych Jachranka - Izbica - oświetlenie drogi gminnej - Poprawa bezpieczeństwa w ruchu drogowym” – zmniejsza się łączne nakłady finansowe o kwotę 7.000 zł, w wyniku uzyskania korzystniejszej ceny w postępowaniu przetargowym na </w:t>
      </w:r>
      <w:r>
        <w:rPr>
          <w:color w:val="000000"/>
          <w:u w:color="000000"/>
        </w:rPr>
        <w:t>realizację zadania.</w:t>
      </w:r>
    </w:p>
    <w:p w:rsidR="00DC6401" w:rsidRDefault="00955CA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Wprowadza się nowe przedsięwzięcie pn.: „Utworzenie oddziałów żłobkowych poprzez rozbudowę budynku przedszkola - Opieka nad dziećmi do lat 3” o łącznych nakładach w wysokości 3.151.000 zł z realizacją w latach 2020 – 2022, które będzie </w:t>
      </w:r>
      <w:r>
        <w:rPr>
          <w:color w:val="000000"/>
          <w:u w:color="000000"/>
        </w:rPr>
        <w:t>uzupełnieniem funkcjonującego na terenie gminy systemu opieki nad najmłodszymi dziećmi.</w:t>
      </w:r>
    </w:p>
    <w:sectPr w:rsidR="00DC640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A6" w:rsidRDefault="00955CA6">
      <w:r>
        <w:separator/>
      </w:r>
    </w:p>
  </w:endnote>
  <w:endnote w:type="continuationSeparator" w:id="0">
    <w:p w:rsidR="00955CA6" w:rsidRDefault="0095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64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6401" w:rsidRDefault="00955C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186C9C7A-77E9-4C72-BCEF-C47FB1F46C98.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6401" w:rsidRDefault="00955C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4B6A">
            <w:rPr>
              <w:sz w:val="18"/>
            </w:rPr>
            <w:fldChar w:fldCharType="separate"/>
          </w:r>
          <w:r w:rsidR="00204B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401" w:rsidRDefault="00DC640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64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6401" w:rsidRDefault="00955CA6">
          <w:pPr>
            <w:jc w:val="left"/>
            <w:rPr>
              <w:sz w:val="18"/>
            </w:rPr>
          </w:pPr>
          <w:r>
            <w:rPr>
              <w:sz w:val="18"/>
            </w:rPr>
            <w:t>Id: 186C9C7A-77E9-4C72-BCEF-C47FB1F46C98.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6401" w:rsidRDefault="00955C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4B6A">
            <w:rPr>
              <w:sz w:val="18"/>
            </w:rPr>
            <w:fldChar w:fldCharType="separate"/>
          </w:r>
          <w:r w:rsidR="00204B6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DC6401" w:rsidRDefault="00DC64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A6" w:rsidRDefault="00955CA6">
      <w:r>
        <w:separator/>
      </w:r>
    </w:p>
  </w:footnote>
  <w:footnote w:type="continuationSeparator" w:id="0">
    <w:p w:rsidR="00955CA6" w:rsidRDefault="0095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1"/>
    <w:rsid w:val="00204B6A"/>
    <w:rsid w:val="00955CA6"/>
    <w:rsid w:val="00D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20A2F-464E-4DF5-A6D0-E899ABD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3803</Words>
  <Characters>22821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Wieloletniej Prognozy Finansowej Miasta i^Gminy Serock na lata 2020^– 2034</dc:subject>
  <dc:creator>Biuro32</dc:creator>
  <cp:lastModifiedBy>Biuro32</cp:lastModifiedBy>
  <cp:revision>2</cp:revision>
  <dcterms:created xsi:type="dcterms:W3CDTF">2020-08-26T08:23:00Z</dcterms:created>
  <dcterms:modified xsi:type="dcterms:W3CDTF">2020-08-26T08:23:00Z</dcterms:modified>
  <cp:category>Akt prawny</cp:category>
</cp:coreProperties>
</file>