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8D0DCE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8D0DCE">
        <w:rPr>
          <w:rFonts w:ascii="Times New Roman" w:hAnsi="Times New Roman" w:cs="Times New Roman"/>
          <w:sz w:val="24"/>
          <w:szCs w:val="24"/>
        </w:rPr>
        <w:t>się</w:t>
      </w:r>
      <w:r w:rsidRPr="008D0DCE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8D0DCE">
        <w:rPr>
          <w:rFonts w:ascii="Times New Roman" w:hAnsi="Times New Roman" w:cs="Times New Roman"/>
          <w:sz w:val="24"/>
          <w:szCs w:val="24"/>
        </w:rPr>
        <w:t>spłaty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zaciągnięcia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8D0DCE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8D0DCE">
        <w:rPr>
          <w:rFonts w:ascii="Times New Roman" w:hAnsi="Times New Roman" w:cs="Times New Roman"/>
          <w:sz w:val="24"/>
          <w:szCs w:val="24"/>
        </w:rPr>
        <w:t>przedsiębiorców</w:t>
      </w:r>
      <w:r w:rsidRPr="008D0DCE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8D0DCE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8D0DCE">
        <w:rPr>
          <w:rFonts w:ascii="Times New Roman" w:hAnsi="Times New Roman" w:cs="Times New Roman"/>
          <w:sz w:val="24"/>
          <w:szCs w:val="24"/>
        </w:rPr>
        <w:t>, który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8D0DCE">
        <w:rPr>
          <w:rFonts w:ascii="Times New Roman" w:hAnsi="Times New Roman" w:cs="Times New Roman"/>
          <w:sz w:val="24"/>
          <w:szCs w:val="24"/>
        </w:rPr>
        <w:t>ów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8D0DCE">
        <w:rPr>
          <w:rFonts w:ascii="Times New Roman" w:hAnsi="Times New Roman" w:cs="Times New Roman"/>
          <w:sz w:val="24"/>
          <w:szCs w:val="24"/>
        </w:rPr>
        <w:t>ych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8D0DCE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8D0DCE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8D0DCE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8D0DCE">
        <w:rPr>
          <w:rFonts w:ascii="Times New Roman" w:hAnsi="Times New Roman" w:cs="Times New Roman"/>
          <w:sz w:val="24"/>
          <w:szCs w:val="24"/>
        </w:rPr>
        <w:t>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B42399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Pr="00B42399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:rsidR="00340D02" w:rsidRPr="00B42399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30C8" w:rsidRPr="00B42399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B42399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1)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2)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02 w Serocku.</w:t>
      </w:r>
    </w:p>
    <w:p w:rsidR="001530C8" w:rsidRPr="00B42399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:rsidR="000069BE" w:rsidRPr="00C95E2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B42399">
        <w:rPr>
          <w:rFonts w:ascii="Times New Roman" w:hAnsi="Times New Roman" w:cs="Times New Roman"/>
          <w:sz w:val="24"/>
          <w:szCs w:val="24"/>
        </w:rPr>
        <w:t>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B423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:rsidR="00854B89" w:rsidRPr="00B42399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B42399">
        <w:rPr>
          <w:rFonts w:ascii="Times New Roman" w:hAnsi="Times New Roman" w:cs="Times New Roman"/>
          <w:sz w:val="24"/>
          <w:szCs w:val="24"/>
        </w:rPr>
        <w:t>z przepisów</w:t>
      </w:r>
      <w:r w:rsidRPr="00B42399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B42399">
        <w:rPr>
          <w:rFonts w:ascii="Times New Roman" w:hAnsi="Times New Roman" w:cs="Times New Roman"/>
          <w:sz w:val="24"/>
          <w:szCs w:val="24"/>
        </w:rPr>
        <w:t>.</w:t>
      </w:r>
    </w:p>
    <w:p w:rsidR="00854B89" w:rsidRPr="00B42399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CE" w:rsidRPr="00B42399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</w:r>
      <w:r w:rsidR="00D72317" w:rsidRPr="00B42399">
        <w:rPr>
          <w:rFonts w:ascii="Times New Roman" w:hAnsi="Times New Roman" w:cs="Times New Roman"/>
          <w:sz w:val="24"/>
          <w:szCs w:val="24"/>
        </w:rPr>
        <w:t>W roku 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B42399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0069BE" w:rsidRPr="00B42399">
        <w:rPr>
          <w:rFonts w:ascii="Times New Roman" w:hAnsi="Times New Roman" w:cs="Times New Roman"/>
          <w:sz w:val="24"/>
          <w:szCs w:val="24"/>
        </w:rPr>
        <w:t>7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B42399" w:rsidRPr="00B42399">
        <w:rPr>
          <w:rFonts w:ascii="Times New Roman" w:hAnsi="Times New Roman" w:cs="Times New Roman"/>
          <w:sz w:val="24"/>
          <w:szCs w:val="24"/>
        </w:rPr>
        <w:t>17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B42399" w:rsidRPr="00B42399">
        <w:rPr>
          <w:rFonts w:ascii="Times New Roman" w:hAnsi="Times New Roman" w:cs="Times New Roman"/>
          <w:sz w:val="24"/>
          <w:szCs w:val="24"/>
        </w:rPr>
        <w:t>428</w:t>
      </w:r>
      <w:r w:rsidRPr="00B42399">
        <w:rPr>
          <w:rFonts w:ascii="Times New Roman" w:hAnsi="Times New Roman" w:cs="Times New Roman"/>
          <w:sz w:val="24"/>
          <w:szCs w:val="24"/>
        </w:rPr>
        <w:t xml:space="preserve"> zł</w:t>
      </w:r>
      <w:r w:rsidR="000069BE" w:rsidRPr="00B42399">
        <w:rPr>
          <w:rFonts w:ascii="Times New Roman" w:hAnsi="Times New Roman" w:cs="Times New Roman"/>
          <w:sz w:val="24"/>
          <w:szCs w:val="24"/>
        </w:rPr>
        <w:t xml:space="preserve"> i</w:t>
      </w: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B42399">
        <w:rPr>
          <w:rFonts w:ascii="Times New Roman" w:hAnsi="Times New Roman" w:cs="Times New Roman"/>
          <w:sz w:val="24"/>
          <w:szCs w:val="24"/>
        </w:rPr>
        <w:t>pożycz</w:t>
      </w:r>
      <w:r w:rsidR="003B7BFD" w:rsidRPr="00B42399">
        <w:rPr>
          <w:rFonts w:ascii="Times New Roman" w:hAnsi="Times New Roman" w:cs="Times New Roman"/>
          <w:sz w:val="24"/>
          <w:szCs w:val="24"/>
        </w:rPr>
        <w:t>e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0069BE" w:rsidRPr="00B42399">
        <w:rPr>
          <w:rFonts w:ascii="Times New Roman" w:hAnsi="Times New Roman" w:cs="Times New Roman"/>
          <w:sz w:val="24"/>
          <w:szCs w:val="24"/>
        </w:rPr>
        <w:t>2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919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D72317" w:rsidRPr="00B42399">
        <w:rPr>
          <w:rFonts w:ascii="Times New Roman" w:hAnsi="Times New Roman" w:cs="Times New Roman"/>
          <w:sz w:val="24"/>
          <w:szCs w:val="24"/>
        </w:rPr>
        <w:t>00 zł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</w:t>
      </w:r>
      <w:r w:rsidR="00DA07BC">
        <w:rPr>
          <w:rFonts w:ascii="Times New Roman" w:hAnsi="Times New Roman" w:cs="Times New Roman"/>
          <w:sz w:val="24"/>
          <w:szCs w:val="24"/>
        </w:rPr>
        <w:t xml:space="preserve">łącznej </w:t>
      </w:r>
      <w:r w:rsidR="008D0DCE" w:rsidRPr="00B42399">
        <w:rPr>
          <w:rFonts w:ascii="Times New Roman" w:hAnsi="Times New Roman" w:cs="Times New Roman"/>
          <w:sz w:val="24"/>
          <w:szCs w:val="24"/>
        </w:rPr>
        <w:t>wysokości 3</w:t>
      </w:r>
      <w:r w:rsidR="00B42399" w:rsidRPr="00B42399">
        <w:rPr>
          <w:rFonts w:ascii="Times New Roman" w:hAnsi="Times New Roman" w:cs="Times New Roman"/>
          <w:sz w:val="24"/>
          <w:szCs w:val="24"/>
        </w:rPr>
        <w:t>.</w:t>
      </w:r>
      <w:r w:rsidR="00052589">
        <w:rPr>
          <w:rFonts w:ascii="Times New Roman" w:hAnsi="Times New Roman" w:cs="Times New Roman"/>
          <w:sz w:val="24"/>
          <w:szCs w:val="24"/>
        </w:rPr>
        <w:t>654</w:t>
      </w:r>
      <w:r w:rsidR="008D0DCE" w:rsidRPr="00B42399">
        <w:rPr>
          <w:rFonts w:ascii="Times New Roman" w:hAnsi="Times New Roman" w:cs="Times New Roman"/>
          <w:sz w:val="24"/>
          <w:szCs w:val="24"/>
        </w:rPr>
        <w:t>.</w:t>
      </w:r>
      <w:r w:rsidR="00052589">
        <w:rPr>
          <w:rFonts w:ascii="Times New Roman" w:hAnsi="Times New Roman" w:cs="Times New Roman"/>
          <w:sz w:val="24"/>
          <w:szCs w:val="24"/>
        </w:rPr>
        <w:t>024,34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zł stanowiące nadwyżkę</w:t>
      </w:r>
      <w:r w:rsidR="00DA07BC">
        <w:rPr>
          <w:rFonts w:ascii="Times New Roman" w:hAnsi="Times New Roman" w:cs="Times New Roman"/>
          <w:sz w:val="24"/>
          <w:szCs w:val="24"/>
        </w:rPr>
        <w:t>:</w:t>
      </w:r>
    </w:p>
    <w:p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pieniężnych na rachunku bieżącym budżetu gminy, wynikającą z rozliczeń wyemitowanych papierów wartościowych, kredytów i pożyczek z lat ubiegłych</w:t>
      </w:r>
      <w:r>
        <w:rPr>
          <w:rFonts w:ascii="Times New Roman" w:hAnsi="Times New Roman"/>
          <w:sz w:val="24"/>
          <w:szCs w:val="24"/>
        </w:rPr>
        <w:t xml:space="preserve">                                   w  wysokości 2.</w:t>
      </w:r>
      <w:r w:rsidR="00052589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5.</w:t>
      </w:r>
      <w:r w:rsidR="00052589">
        <w:rPr>
          <w:rFonts w:ascii="Times New Roman" w:hAnsi="Times New Roman"/>
          <w:sz w:val="24"/>
          <w:szCs w:val="24"/>
        </w:rPr>
        <w:t>408,77</w:t>
      </w:r>
      <w:r>
        <w:rPr>
          <w:rFonts w:ascii="Times New Roman" w:hAnsi="Times New Roman"/>
          <w:sz w:val="24"/>
          <w:szCs w:val="24"/>
        </w:rPr>
        <w:t xml:space="preserve"> zł,</w:t>
      </w:r>
    </w:p>
    <w:p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wynikającą z rozliczenia  niewykorzystanych środków pieniężnych na rachunku bieżącym budżetu gminy, wynikającej z rozliczenia dochodów i wydatków nimi finansowanych związanych ze szczególnymi zasadami wykonywania budżetu określonymi w odrębnych ustawach</w:t>
      </w:r>
      <w:r>
        <w:rPr>
          <w:rFonts w:ascii="Times New Roman" w:hAnsi="Times New Roman"/>
          <w:sz w:val="24"/>
          <w:szCs w:val="24"/>
        </w:rPr>
        <w:t xml:space="preserve"> w wysokość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681.292,85 zł, na którą składają się:</w:t>
      </w:r>
    </w:p>
    <w:p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379.102,22 zł,</w:t>
      </w:r>
    </w:p>
    <w:p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opłat i kar pieniężnych za korzystanie ze środowiska oraz wydatków w zakresie ochrony środowiska - kwota 690,63 zł,</w:t>
      </w:r>
    </w:p>
    <w:p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dofinansowanie w wysokości 301.500 zł z funduszu dróg samorządowych na podstawie podpisanej umowy z Wojewodą Mazowieckim z przeznaczeniem na dofinansowanie realizacji zadania inwestycyjnego pn. „Budowa ulicy Książęcej wraz z infrastrukturą w Jadwisinie”.</w:t>
      </w:r>
    </w:p>
    <w:p w:rsidR="00DA07BC" w:rsidRDefault="00DA07BC" w:rsidP="007D370D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pieniężnych na rachunku bieżącym budżetu gminy, wynikających z rozliczenia środków określonych w art. 5 ust. 1 pkt 2 ustawy i dotacji na realizację programu, projektu lub zadania finansowanego z udziałem tych środków </w:t>
      </w:r>
      <w:r>
        <w:rPr>
          <w:rFonts w:ascii="Times New Roman" w:hAnsi="Times New Roman"/>
          <w:sz w:val="24"/>
          <w:szCs w:val="24"/>
        </w:rPr>
        <w:t xml:space="preserve">w 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507.322,72 zł, na którą składają się n/w projekty:</w:t>
      </w:r>
    </w:p>
    <w:p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Kluby Kluczowych Kompetencji – kwota 227.583,28 zł,</w:t>
      </w:r>
    </w:p>
    <w:p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Przyjazny OPS – kwota 201.363,61 zł,</w:t>
      </w:r>
    </w:p>
    <w:p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Kompleksowe Usługi Społeczne – kwota 78.375,83 zł. </w:t>
      </w:r>
    </w:p>
    <w:p w:rsidR="00CB3ECE" w:rsidRPr="00C95E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B53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2D6B53">
        <w:rPr>
          <w:rFonts w:ascii="Times New Roman" w:hAnsi="Times New Roman" w:cs="Times New Roman"/>
          <w:sz w:val="24"/>
          <w:szCs w:val="24"/>
        </w:rPr>
        <w:t>zaciągniętych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2D6B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2D6B53">
        <w:rPr>
          <w:rFonts w:ascii="Times New Roman" w:hAnsi="Times New Roman" w:cs="Times New Roman"/>
          <w:sz w:val="24"/>
          <w:szCs w:val="24"/>
        </w:rPr>
        <w:t>ustawy</w:t>
      </w:r>
      <w:r w:rsidRPr="002D6B53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2D6B53">
        <w:rPr>
          <w:rFonts w:ascii="Times New Roman" w:hAnsi="Times New Roman" w:cs="Times New Roman"/>
          <w:sz w:val="24"/>
          <w:szCs w:val="24"/>
        </w:rPr>
        <w:t>bieżących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2D6B53">
        <w:rPr>
          <w:rFonts w:ascii="Times New Roman" w:hAnsi="Times New Roman" w:cs="Times New Roman"/>
          <w:sz w:val="24"/>
          <w:szCs w:val="24"/>
        </w:rPr>
        <w:t>majątku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</w:t>
      </w:r>
      <w:r w:rsidRPr="002D6B53">
        <w:rPr>
          <w:rFonts w:ascii="Times New Roman" w:hAnsi="Times New Roman" w:cs="Times New Roman"/>
          <w:sz w:val="24"/>
          <w:szCs w:val="24"/>
        </w:rPr>
        <w:lastRenderedPageBreak/>
        <w:t xml:space="preserve">wskaźników wyliczanych zgodnie z art. 243 ustawy o finansach publicznych. </w:t>
      </w:r>
    </w:p>
    <w:p w:rsidR="002D6B53" w:rsidRPr="002D6B53" w:rsidRDefault="002D6B53" w:rsidP="002D6B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2020r. zmniejszono o kwotę 82.272 zł, z uwagi na niższą kwotę zaciągniętych pożyczek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D6B5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2D6B53">
        <w:rPr>
          <w:rFonts w:ascii="Times New Roman" w:hAnsi="Times New Roman" w:cs="Times New Roman"/>
          <w:sz w:val="24"/>
          <w:szCs w:val="24"/>
        </w:rPr>
        <w:t xml:space="preserve"> niż pierwotnie planowano. Zobowiązania po zmianie wynoszą 3.898.497,91 zł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B53">
        <w:rPr>
          <w:rFonts w:ascii="Times New Roman" w:hAnsi="Times New Roman" w:cs="Times New Roman"/>
          <w:sz w:val="24"/>
          <w:szCs w:val="24"/>
        </w:rPr>
        <w:t>i dotyczą:</w:t>
      </w: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2D6B53">
        <w:rPr>
          <w:rFonts w:ascii="Times New Roman" w:hAnsi="Times New Roman" w:cs="Times New Roman"/>
          <w:sz w:val="24"/>
          <w:szCs w:val="24"/>
        </w:rPr>
        <w:t>–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2D6B53">
        <w:rPr>
          <w:rFonts w:ascii="Times New Roman" w:hAnsi="Times New Roman" w:cs="Times New Roman"/>
          <w:sz w:val="24"/>
          <w:szCs w:val="24"/>
        </w:rPr>
        <w:t>6.842,08</w:t>
      </w:r>
      <w:r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2D6B53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2D6B53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2D6B53">
        <w:rPr>
          <w:rFonts w:ascii="Times New Roman" w:hAnsi="Times New Roman" w:cs="Times New Roman"/>
          <w:sz w:val="24"/>
          <w:szCs w:val="24"/>
        </w:rPr>
        <w:t>5</w:t>
      </w:r>
      <w:r w:rsidR="002D6B53" w:rsidRPr="002D6B53">
        <w:rPr>
          <w:rFonts w:ascii="Times New Roman" w:hAnsi="Times New Roman" w:cs="Times New Roman"/>
          <w:sz w:val="24"/>
          <w:szCs w:val="24"/>
        </w:rPr>
        <w:t>01</w:t>
      </w:r>
      <w:r w:rsidR="00934ECC" w:rsidRPr="002D6B53">
        <w:rPr>
          <w:rFonts w:ascii="Times New Roman" w:hAnsi="Times New Roman" w:cs="Times New Roman"/>
          <w:sz w:val="24"/>
          <w:szCs w:val="24"/>
        </w:rPr>
        <w:t>.</w:t>
      </w:r>
      <w:r w:rsidR="002D6B53" w:rsidRPr="002D6B53">
        <w:rPr>
          <w:rFonts w:ascii="Times New Roman" w:hAnsi="Times New Roman" w:cs="Times New Roman"/>
          <w:sz w:val="24"/>
          <w:szCs w:val="24"/>
        </w:rPr>
        <w:t>655,83</w:t>
      </w:r>
      <w:r w:rsidR="00CB3ECE"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</w:t>
      </w:r>
      <w:r w:rsidRPr="00103DC7">
        <w:rPr>
          <w:rFonts w:ascii="Times New Roman" w:hAnsi="Times New Roman" w:cs="Times New Roman"/>
          <w:sz w:val="24"/>
          <w:szCs w:val="24"/>
        </w:rPr>
        <w:t xml:space="preserve">wykup obligacji komunalnych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103DC7">
        <w:rPr>
          <w:rFonts w:ascii="Times New Roman" w:hAnsi="Times New Roman" w:cs="Times New Roman"/>
          <w:sz w:val="24"/>
          <w:szCs w:val="24"/>
        </w:rPr>
        <w:t>3</w:t>
      </w:r>
      <w:r w:rsidRPr="00103DC7">
        <w:rPr>
          <w:rFonts w:ascii="Times New Roman" w:hAnsi="Times New Roman" w:cs="Times New Roman"/>
          <w:sz w:val="24"/>
          <w:szCs w:val="24"/>
        </w:rPr>
        <w:t>.</w:t>
      </w:r>
      <w:r w:rsidR="000069BE" w:rsidRPr="00103DC7">
        <w:rPr>
          <w:rFonts w:ascii="Times New Roman" w:hAnsi="Times New Roman" w:cs="Times New Roman"/>
          <w:sz w:val="24"/>
          <w:szCs w:val="24"/>
        </w:rPr>
        <w:t>330</w:t>
      </w:r>
      <w:r w:rsidRPr="00103DC7">
        <w:rPr>
          <w:rFonts w:ascii="Times New Roman" w:hAnsi="Times New Roman" w:cs="Times New Roman"/>
          <w:sz w:val="24"/>
          <w:szCs w:val="24"/>
        </w:rPr>
        <w:t>.000 zł.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DC7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103DC7">
        <w:rPr>
          <w:rFonts w:ascii="Times New Roman" w:hAnsi="Times New Roman" w:cs="Times New Roman"/>
          <w:sz w:val="24"/>
          <w:szCs w:val="24"/>
        </w:rPr>
        <w:t>publicznych zawarte</w:t>
      </w:r>
      <w:r w:rsidRPr="00103DC7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3DC7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</w:t>
      </w:r>
      <w:r w:rsidRPr="00103DC7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:rsidR="00CB3ECE" w:rsidRPr="00103DC7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103DC7">
        <w:rPr>
          <w:rFonts w:ascii="Times New Roman" w:hAnsi="Times New Roman" w:cs="Times New Roman"/>
          <w:sz w:val="24"/>
          <w:szCs w:val="24"/>
        </w:rPr>
        <w:t>4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103DC7">
        <w:rPr>
          <w:rFonts w:ascii="Times New Roman" w:hAnsi="Times New Roman" w:cs="Times New Roman"/>
          <w:sz w:val="24"/>
          <w:szCs w:val="24"/>
        </w:rPr>
        <w:t>34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103DC7">
        <w:rPr>
          <w:rFonts w:ascii="Times New Roman" w:hAnsi="Times New Roman" w:cs="Times New Roman"/>
          <w:sz w:val="24"/>
          <w:szCs w:val="24"/>
        </w:rPr>
        <w:t>budżetu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:rsidR="00103DC7" w:rsidRPr="00103DC7" w:rsidRDefault="00103DC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A1" w:rsidRPr="000E11B6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69" w:rsidRPr="00007C69">
        <w:rPr>
          <w:rFonts w:ascii="Times New Roman" w:hAnsi="Times New Roman" w:cs="Times New Roman"/>
          <w:sz w:val="24"/>
          <w:szCs w:val="24"/>
        </w:rPr>
        <w:t>Gmina</w:t>
      </w:r>
      <w:r w:rsidRPr="00007C69">
        <w:rPr>
          <w:rFonts w:ascii="Times New Roman" w:hAnsi="Times New Roman" w:cs="Times New Roman"/>
          <w:sz w:val="24"/>
          <w:szCs w:val="24"/>
        </w:rPr>
        <w:t xml:space="preserve"> zaciągnęła pożyczkę w kwocie niższej o </w:t>
      </w:r>
      <w:r w:rsidR="00007C69" w:rsidRPr="00007C69">
        <w:rPr>
          <w:rFonts w:ascii="Times New Roman" w:hAnsi="Times New Roman" w:cs="Times New Roman"/>
          <w:sz w:val="24"/>
          <w:szCs w:val="24"/>
        </w:rPr>
        <w:t>9.100</w:t>
      </w:r>
      <w:r w:rsidRPr="00007C69">
        <w:rPr>
          <w:rFonts w:ascii="Times New Roman" w:hAnsi="Times New Roman" w:cs="Times New Roman"/>
          <w:sz w:val="24"/>
          <w:szCs w:val="24"/>
        </w:rPr>
        <w:t xml:space="preserve"> zł od planowanej </w:t>
      </w:r>
      <w:r w:rsidR="00007C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Wodnej, w związku </w:t>
      </w:r>
      <w:r w:rsidR="00847A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</w:t>
      </w:r>
      <w:r w:rsidRPr="00103DC7">
        <w:rPr>
          <w:rFonts w:ascii="Times New Roman" w:hAnsi="Times New Roman" w:cs="Times New Roman"/>
          <w:sz w:val="24"/>
          <w:szCs w:val="24"/>
        </w:rPr>
        <w:t>realizacją zadania inwestycyjnego pn.: „</w:t>
      </w:r>
      <w:r w:rsidR="00007C69" w:rsidRPr="00103DC7">
        <w:rPr>
          <w:rFonts w:ascii="Times New Roman" w:hAnsi="Times New Roman"/>
          <w:szCs w:val="24"/>
        </w:rPr>
        <w:t>Poprawa efektywności energetycznej na terenie gminy Serock”</w:t>
      </w:r>
      <w:r w:rsidRPr="00103DC7">
        <w:rPr>
          <w:rFonts w:ascii="Times New Roman" w:hAnsi="Times New Roman" w:cs="Times New Roman"/>
          <w:sz w:val="24"/>
          <w:szCs w:val="24"/>
        </w:rPr>
        <w:t xml:space="preserve">. Pożyczka została przyznana w </w:t>
      </w:r>
      <w:r w:rsidR="00365031" w:rsidRPr="00103DC7">
        <w:rPr>
          <w:rFonts w:ascii="Times New Roman" w:hAnsi="Times New Roman" w:cs="Times New Roman"/>
          <w:sz w:val="24"/>
          <w:szCs w:val="24"/>
        </w:rPr>
        <w:t>niższej</w:t>
      </w:r>
      <w:r w:rsidR="00103DC7"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Pr="00103DC7">
        <w:rPr>
          <w:rFonts w:ascii="Times New Roman" w:hAnsi="Times New Roman" w:cs="Times New Roman"/>
          <w:sz w:val="24"/>
          <w:szCs w:val="24"/>
        </w:rPr>
        <w:t>wysokości</w:t>
      </w:r>
      <w:r w:rsidR="00365031" w:rsidRPr="00103DC7">
        <w:rPr>
          <w:rFonts w:ascii="Times New Roman" w:hAnsi="Times New Roman" w:cs="Times New Roman"/>
          <w:sz w:val="24"/>
          <w:szCs w:val="24"/>
        </w:rPr>
        <w:t xml:space="preserve"> z uwagi na niższe koszty kwalifikowane wydatków. 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103DC7">
        <w:rPr>
          <w:rFonts w:ascii="Times New Roman" w:hAnsi="Times New Roman" w:cs="Times New Roman"/>
          <w:sz w:val="24"/>
          <w:szCs w:val="24"/>
        </w:rPr>
        <w:t>Ponadto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 zrezygnowano z zaciągnięcia dwóch pożyczek również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150.000 zł </w:t>
      </w:r>
      <w:r w:rsidR="00103DC7">
        <w:rPr>
          <w:rFonts w:ascii="Times New Roman" w:hAnsi="Times New Roman" w:cs="Times New Roman"/>
          <w:sz w:val="24"/>
          <w:szCs w:val="24"/>
        </w:rPr>
        <w:t xml:space="preserve">na zadanie pn.: </w:t>
      </w:r>
      <w:r w:rsidR="000E11B6" w:rsidRPr="000E11B6">
        <w:rPr>
          <w:rFonts w:ascii="Times New Roman" w:hAnsi="Times New Roman"/>
          <w:sz w:val="24"/>
          <w:szCs w:val="24"/>
        </w:rPr>
        <w:t>„</w:t>
      </w:r>
      <w:bookmarkStart w:id="1" w:name="_Hlk6310714"/>
      <w:r w:rsidR="000E11B6" w:rsidRPr="000E11B6">
        <w:rPr>
          <w:rFonts w:ascii="Times New Roman" w:hAnsi="Times New Roman"/>
          <w:sz w:val="24"/>
          <w:szCs w:val="24"/>
        </w:rPr>
        <w:t>Budowa kanalizacji sanitarnej Serock ul. Słodka</w:t>
      </w:r>
      <w:bookmarkEnd w:id="1"/>
      <w:r w:rsidR="000E11B6" w:rsidRPr="000E11B6">
        <w:rPr>
          <w:rFonts w:ascii="Times New Roman" w:hAnsi="Times New Roman"/>
          <w:sz w:val="24"/>
          <w:szCs w:val="24"/>
        </w:rPr>
        <w:t xml:space="preserve">” oraz </w:t>
      </w:r>
      <w:r w:rsidR="00103DC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E11B6" w:rsidRPr="000E11B6">
        <w:rPr>
          <w:rFonts w:ascii="Times New Roman" w:hAnsi="Times New Roman"/>
          <w:sz w:val="24"/>
          <w:szCs w:val="24"/>
        </w:rPr>
        <w:t>w wysokości 400.000 zł</w:t>
      </w:r>
      <w:r w:rsidR="00103DC7">
        <w:rPr>
          <w:rFonts w:ascii="Times New Roman" w:hAnsi="Times New Roman"/>
          <w:sz w:val="24"/>
          <w:szCs w:val="24"/>
        </w:rPr>
        <w:t xml:space="preserve"> na zadanie pn.:</w:t>
      </w:r>
      <w:r w:rsidR="000E11B6" w:rsidRPr="000E11B6">
        <w:rPr>
          <w:rFonts w:ascii="Times New Roman" w:hAnsi="Times New Roman"/>
          <w:sz w:val="24"/>
          <w:szCs w:val="24"/>
        </w:rPr>
        <w:t xml:space="preserve"> „Budowa kanalizacji sanitarnej rejon Borowa Góra - Dosin - Skubianka - Jachranka - Izbica, Dębe”</w:t>
      </w:r>
      <w:r w:rsidR="00103DC7">
        <w:rPr>
          <w:rFonts w:ascii="Times New Roman" w:hAnsi="Times New Roman"/>
          <w:sz w:val="24"/>
          <w:szCs w:val="24"/>
        </w:rPr>
        <w:t>,</w:t>
      </w:r>
      <w:r w:rsidR="000E11B6">
        <w:rPr>
          <w:rFonts w:ascii="Times New Roman" w:hAnsi="Times New Roman"/>
          <w:sz w:val="24"/>
          <w:szCs w:val="24"/>
        </w:rPr>
        <w:t xml:space="preserve"> w związku z</w:t>
      </w:r>
      <w:r w:rsidR="00103DC7">
        <w:rPr>
          <w:rFonts w:ascii="Times New Roman" w:hAnsi="Times New Roman"/>
          <w:sz w:val="24"/>
          <w:szCs w:val="24"/>
        </w:rPr>
        <w:t xml:space="preserve"> przesunięciem terminu realizacji zadań na lata następne. </w:t>
      </w:r>
    </w:p>
    <w:p w:rsidR="00FD28A1" w:rsidRPr="00BF2ADD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Powyższe wpłynęło na zmniejszenie rozchodów w poszczególnych latach, zgodnie </w:t>
      </w:r>
      <w:r w:rsidR="00847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z załącznikiem nr 1 do niniejszej uchwały oraz kwoty długu, która na koniec 2020r. wynosiłaby 3</w:t>
      </w:r>
      <w:r w:rsidRPr="00BF2A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457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080,75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 (zmniejszenie o kwotę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216E" w:rsidRPr="00C95E25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11B6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0E11B6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0E11B6">
        <w:rPr>
          <w:rFonts w:ascii="Times New Roman" w:hAnsi="Times New Roman" w:cs="Times New Roman"/>
          <w:sz w:val="24"/>
          <w:szCs w:val="24"/>
        </w:rPr>
        <w:t>2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0E11B6">
        <w:rPr>
          <w:rFonts w:ascii="Times New Roman" w:hAnsi="Times New Roman" w:cs="Times New Roman"/>
          <w:sz w:val="24"/>
          <w:szCs w:val="24"/>
        </w:rPr>
        <w:t>5</w:t>
      </w:r>
      <w:r w:rsidRPr="000E11B6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zobowiązań.</w:t>
      </w: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:rsidR="00CB3ECE" w:rsidRPr="000E11B6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:rsidR="008A44BA" w:rsidRPr="000E11B6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dowożenie uczniów do szkół</w:t>
      </w:r>
    </w:p>
    <w:p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programów polityki zdrowotnej</w:t>
      </w:r>
    </w:p>
    <w:p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 xml:space="preserve"> w Serocku,</w:t>
      </w:r>
    </w:p>
    <w:p w:rsidR="00CB3ECE" w:rsidRPr="000E11B6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0E11B6">
        <w:rPr>
          <w:rFonts w:ascii="Times New Roman" w:hAnsi="Times New Roman" w:cs="Times New Roman"/>
          <w:sz w:val="24"/>
          <w:szCs w:val="24"/>
        </w:rPr>
        <w:t>w Jachrance.</w:t>
      </w:r>
    </w:p>
    <w:p w:rsidR="003C69C3" w:rsidRPr="000E11B6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E11B6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:rsid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E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D6B53" w:rsidRPr="000E11B6" w:rsidRDefault="002D6B5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Wieloletniej Prognozie Finansowej dostosowano rok 201</w:t>
      </w:r>
      <w:r w:rsidR="000E11B6" w:rsidRPr="000E11B6">
        <w:rPr>
          <w:rFonts w:ascii="Times New Roman" w:hAnsi="Times New Roman" w:cs="Times New Roman"/>
          <w:sz w:val="24"/>
          <w:szCs w:val="24"/>
        </w:rPr>
        <w:t>9</w:t>
      </w:r>
      <w:r w:rsidRPr="000E11B6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sprawozdawczością.</w:t>
      </w: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</w:p>
    <w:p w:rsidR="00E82EC3" w:rsidRPr="00585426" w:rsidRDefault="000E11B6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82EC3" w:rsidRPr="00585426">
        <w:rPr>
          <w:rFonts w:ascii="Times New Roman" w:hAnsi="Times New Roman" w:cs="Times New Roman"/>
          <w:sz w:val="24"/>
          <w:szCs w:val="24"/>
        </w:rPr>
        <w:t>W związku z wprowadzonymi zmianami w budżecie zwiększa się plan dochodów na rok 20</w:t>
      </w:r>
      <w:r w:rsidR="00E82EC3">
        <w:rPr>
          <w:rFonts w:ascii="Times New Roman" w:hAnsi="Times New Roman" w:cs="Times New Roman"/>
          <w:sz w:val="24"/>
          <w:szCs w:val="24"/>
        </w:rPr>
        <w:t>20</w:t>
      </w:r>
      <w:r w:rsidR="00E82EC3" w:rsidRPr="0058542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052589">
        <w:rPr>
          <w:rFonts w:ascii="Times New Roman" w:hAnsi="Times New Roman" w:cs="Times New Roman"/>
          <w:b/>
          <w:sz w:val="24"/>
          <w:szCs w:val="24"/>
        </w:rPr>
        <w:t>106.699,11</w:t>
      </w:r>
      <w:r w:rsidR="00E82EC3" w:rsidRPr="00585426">
        <w:rPr>
          <w:rFonts w:ascii="Times New Roman" w:hAnsi="Times New Roman" w:cs="Times New Roman"/>
          <w:sz w:val="24"/>
          <w:szCs w:val="24"/>
        </w:rPr>
        <w:t xml:space="preserve"> zł., na którą składa się:</w:t>
      </w:r>
    </w:p>
    <w:p w:rsidR="00E82EC3" w:rsidRPr="00585426" w:rsidRDefault="00E82EC3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EC3" w:rsidRDefault="00E82EC3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sz w:val="24"/>
          <w:szCs w:val="24"/>
        </w:rPr>
        <w:t xml:space="preserve">1. zwiększenie dochodów bieżących o kwotę </w:t>
      </w:r>
      <w:r w:rsidR="00052589">
        <w:rPr>
          <w:rFonts w:ascii="Times New Roman" w:hAnsi="Times New Roman" w:cs="Times New Roman"/>
          <w:bCs/>
          <w:sz w:val="24"/>
          <w:szCs w:val="24"/>
        </w:rPr>
        <w:t>106.699,11</w:t>
      </w:r>
      <w:r w:rsidRPr="0058542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585426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:rsidR="002E0DB4" w:rsidRPr="00585426" w:rsidRDefault="002E0DB4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EC3" w:rsidRPr="00CF7109" w:rsidRDefault="00E82EC3" w:rsidP="00E82EC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109">
        <w:rPr>
          <w:rFonts w:ascii="Times New Roman" w:hAnsi="Times New Roman" w:cs="Times New Roman"/>
          <w:sz w:val="24"/>
          <w:szCs w:val="24"/>
        </w:rPr>
        <w:t>otrzymania informacji o zmianach w planie dotacji na 20</w:t>
      </w:r>
      <w:r w:rsidR="006F142B" w:rsidRPr="00CF7109">
        <w:rPr>
          <w:rFonts w:ascii="Times New Roman" w:hAnsi="Times New Roman" w:cs="Times New Roman"/>
          <w:sz w:val="24"/>
          <w:szCs w:val="24"/>
        </w:rPr>
        <w:t>20</w:t>
      </w:r>
      <w:r w:rsidRPr="00CF7109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2" w:name="_Hlk3808091"/>
      <w:r w:rsidRPr="00CF7109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CF7109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CF7109" w:rsidRPr="00CF7109">
        <w:rPr>
          <w:rFonts w:ascii="Times New Roman" w:hAnsi="Times New Roman" w:cs="Times New Roman"/>
          <w:sz w:val="24"/>
          <w:szCs w:val="24"/>
        </w:rPr>
        <w:t>107.625,36</w:t>
      </w:r>
      <w:r w:rsidRPr="00CF7109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:rsidR="00DD3B2B" w:rsidRPr="00CF7109" w:rsidRDefault="00DD3B2B" w:rsidP="00CF7109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109">
        <w:rPr>
          <w:rFonts w:ascii="Times New Roman" w:hAnsi="Times New Roman" w:cs="Times New Roman"/>
          <w:sz w:val="24"/>
          <w:szCs w:val="24"/>
        </w:rPr>
        <w:t>wypłatę zryczałtowanych dodatków energetycznych dla odbiorców wrażliwych energii elektrycznej oraz kosztów obsługi tego zadania</w:t>
      </w:r>
      <w:r w:rsidRPr="00CF7109">
        <w:rPr>
          <w:rFonts w:ascii="Times New Roman" w:hAnsi="Times New Roman" w:cs="Times New Roman"/>
          <w:sz w:val="24"/>
          <w:szCs w:val="24"/>
        </w:rPr>
        <w:t xml:space="preserve"> – zwiększenie o </w:t>
      </w:r>
      <w:r w:rsidRPr="00CF7109">
        <w:rPr>
          <w:rFonts w:ascii="Times New Roman" w:hAnsi="Times New Roman" w:cs="Times New Roman"/>
          <w:sz w:val="24"/>
          <w:szCs w:val="24"/>
        </w:rPr>
        <w:t>kwotę 134 zł</w:t>
      </w:r>
      <w:r w:rsidRPr="00CF7109">
        <w:rPr>
          <w:rFonts w:ascii="Times New Roman" w:hAnsi="Times New Roman" w:cs="Times New Roman"/>
          <w:sz w:val="24"/>
          <w:szCs w:val="24"/>
        </w:rPr>
        <w:t>,</w:t>
      </w:r>
    </w:p>
    <w:p w:rsidR="00C414C0" w:rsidRPr="00CF7109" w:rsidRDefault="00DD3B2B" w:rsidP="00CF7109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109">
        <w:rPr>
          <w:rFonts w:ascii="Times New Roman" w:hAnsi="Times New Roman" w:cs="Times New Roman"/>
          <w:sz w:val="24"/>
          <w:szCs w:val="24"/>
        </w:rPr>
        <w:t>wypłatę stypendiów i zasiłk</w:t>
      </w:r>
      <w:r w:rsidR="00CF7109">
        <w:rPr>
          <w:rFonts w:ascii="Times New Roman" w:hAnsi="Times New Roman" w:cs="Times New Roman"/>
          <w:sz w:val="24"/>
          <w:szCs w:val="24"/>
        </w:rPr>
        <w:t>ów</w:t>
      </w:r>
      <w:r w:rsidRPr="00CF7109">
        <w:rPr>
          <w:rFonts w:ascii="Times New Roman" w:hAnsi="Times New Roman" w:cs="Times New Roman"/>
          <w:sz w:val="24"/>
          <w:szCs w:val="24"/>
        </w:rPr>
        <w:t xml:space="preserve"> socjaln</w:t>
      </w:r>
      <w:r w:rsidR="00CF7109">
        <w:rPr>
          <w:rFonts w:ascii="Times New Roman" w:hAnsi="Times New Roman" w:cs="Times New Roman"/>
          <w:sz w:val="24"/>
          <w:szCs w:val="24"/>
        </w:rPr>
        <w:t>ych</w:t>
      </w:r>
      <w:r w:rsidRPr="00CF7109">
        <w:rPr>
          <w:rFonts w:ascii="Times New Roman" w:hAnsi="Times New Roman" w:cs="Times New Roman"/>
          <w:sz w:val="24"/>
          <w:szCs w:val="24"/>
        </w:rPr>
        <w:t xml:space="preserve"> – zwiększenie o kwotę</w:t>
      </w:r>
      <w:r w:rsidRPr="00CF7109">
        <w:rPr>
          <w:rFonts w:ascii="Times New Roman" w:hAnsi="Times New Roman" w:cs="Times New Roman"/>
          <w:sz w:val="24"/>
          <w:szCs w:val="24"/>
        </w:rPr>
        <w:t xml:space="preserve"> 16.249 zł</w:t>
      </w:r>
      <w:r w:rsidR="00CF7109">
        <w:rPr>
          <w:rFonts w:ascii="Times New Roman" w:hAnsi="Times New Roman" w:cs="Times New Roman"/>
          <w:sz w:val="24"/>
          <w:szCs w:val="24"/>
        </w:rPr>
        <w:t>,</w:t>
      </w:r>
      <w:r w:rsidRPr="00C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4EB" w:rsidRPr="00CF7109" w:rsidRDefault="00C414C0" w:rsidP="00CF7109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zwrot części podatku akcyzowego zawartego w cenie oleju napędowego wykorzystywanego do produkcji rolnej przez producentów rolnych oraz na pokrycie kosztów postępowania w sprawie jego zwrotu – 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zwiększenie o 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kwot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ę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118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158,36</w:t>
      </w:r>
      <w:r w:rsidRPr="00CF71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zł,</w:t>
      </w:r>
    </w:p>
    <w:p w:rsidR="00CF7109" w:rsidRPr="00CF7109" w:rsidRDefault="00CF7109" w:rsidP="00CF7109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F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zadań wynikających z ustawy – Prawo o aktach stanu cywilnego, ustawy                      o ewidencji ludności, ustawy o dowodach osobistych – zwiększenie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F7109">
        <w:rPr>
          <w:rFonts w:ascii="Times New Roman" w:eastAsia="Times New Roman" w:hAnsi="Times New Roman" w:cs="Times New Roman"/>
          <w:sz w:val="24"/>
          <w:szCs w:val="24"/>
          <w:lang w:eastAsia="pl-PL"/>
        </w:rPr>
        <w:t>15.936 zł,</w:t>
      </w:r>
    </w:p>
    <w:p w:rsidR="00CF7109" w:rsidRPr="00CF7109" w:rsidRDefault="00CF7109" w:rsidP="00CF7109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F710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świadczenia dobry start, o którym mowa w uchwale nr 80 Rady Ministrów z dnia 30.05.2018r. w sprawie ustanowienia rządowego programu „Dobry start” – zwiększenie o kwotę 8.000 zł,</w:t>
      </w:r>
    </w:p>
    <w:p w:rsidR="00CF7109" w:rsidRPr="00CF7109" w:rsidRDefault="00CF7109" w:rsidP="00CF7109">
      <w:pPr>
        <w:pStyle w:val="Akapitzlis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109">
        <w:rPr>
          <w:rFonts w:ascii="Times New Roman" w:hAnsi="Times New Roman" w:cs="Times New Roman"/>
          <w:sz w:val="24"/>
          <w:szCs w:val="24"/>
        </w:rPr>
        <w:t xml:space="preserve">wypłatę świadczeń rodzinnych z dodatkami, rodzicielskich, pielęgnacyjnych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7109">
        <w:rPr>
          <w:rFonts w:ascii="Times New Roman" w:hAnsi="Times New Roman" w:cs="Times New Roman"/>
          <w:sz w:val="24"/>
          <w:szCs w:val="24"/>
        </w:rPr>
        <w:t>i opiekuńczych oraz 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09">
        <w:rPr>
          <w:rFonts w:ascii="Times New Roman" w:hAnsi="Times New Roman" w:cs="Times New Roman"/>
          <w:sz w:val="24"/>
          <w:szCs w:val="24"/>
        </w:rPr>
        <w:t>z funduszu alimentacyjnego – zwiększenie o kwotę 23.000 zł,</w:t>
      </w:r>
    </w:p>
    <w:p w:rsidR="00C414C0" w:rsidRPr="00CF7109" w:rsidRDefault="00C414C0" w:rsidP="00CF7109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realizację świadczenia wychowaczego – 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zmniejszenie o 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kwot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ę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63.000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zł,</w:t>
      </w:r>
    </w:p>
    <w:p w:rsidR="003A1BBE" w:rsidRPr="00CF7109" w:rsidRDefault="003A1BBE" w:rsidP="00CF7109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CF7109">
        <w:rPr>
          <w:rFonts w:ascii="Times New Roman" w:hAnsi="Times New Roman" w:cs="Times New Roman"/>
          <w:sz w:val="24"/>
          <w:szCs w:val="24"/>
        </w:rPr>
        <w:t>opłacenie składek na ubezpieczenie zdrowotne za niektóre osoby pobierające zasiłki stałe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r w:rsidRPr="00CF71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– zmniejszenie o kwotę 5.000 zł,</w:t>
      </w:r>
    </w:p>
    <w:p w:rsidR="00D03869" w:rsidRPr="00CF7109" w:rsidRDefault="00C4601D" w:rsidP="00CF7109">
      <w:pPr>
        <w:pStyle w:val="Akapitzlis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109">
        <w:rPr>
          <w:rFonts w:ascii="Times New Roman" w:hAnsi="Times New Roman" w:cs="Times New Roman"/>
          <w:bCs/>
          <w:sz w:val="24"/>
          <w:szCs w:val="24"/>
        </w:rPr>
        <w:t>realizację zadań w zakresie wychowania przedszkolnego – zmniejszenie o kwotę 3.852 zł,</w:t>
      </w:r>
    </w:p>
    <w:p w:rsidR="003604EB" w:rsidRPr="00CF7109" w:rsidRDefault="003604EB" w:rsidP="00CF7109">
      <w:pPr>
        <w:pStyle w:val="Akapitzlis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109">
        <w:rPr>
          <w:rFonts w:ascii="Times New Roman" w:hAnsi="Times New Roman" w:cs="Times New Roman"/>
          <w:sz w:val="24"/>
          <w:szCs w:val="24"/>
        </w:rPr>
        <w:t>wypłatę zasiłków okresowych</w:t>
      </w:r>
      <w:r w:rsidRPr="00CF7109">
        <w:rPr>
          <w:rFonts w:ascii="Times New Roman" w:hAnsi="Times New Roman" w:cs="Times New Roman"/>
          <w:sz w:val="24"/>
          <w:szCs w:val="24"/>
        </w:rPr>
        <w:t xml:space="preserve"> – zmniejszenie o kwotę 2.000 zł</w:t>
      </w:r>
    </w:p>
    <w:p w:rsidR="00C4601D" w:rsidRPr="00CF7109" w:rsidRDefault="00CF7109" w:rsidP="00CF7109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109">
        <w:rPr>
          <w:rFonts w:ascii="Times New Roman" w:hAnsi="Times New Roman" w:cs="Times New Roman"/>
          <w:sz w:val="24"/>
          <w:szCs w:val="24"/>
        </w:rPr>
        <w:t>informacji</w:t>
      </w:r>
      <w:r w:rsidRPr="00CF7109">
        <w:rPr>
          <w:rFonts w:ascii="Times New Roman" w:hAnsi="Times New Roman" w:cs="Times New Roman"/>
          <w:sz w:val="24"/>
          <w:szCs w:val="24"/>
        </w:rPr>
        <w:t xml:space="preserve"> </w:t>
      </w:r>
      <w:r w:rsidR="003604EB" w:rsidRPr="00CF7109">
        <w:rPr>
          <w:rFonts w:ascii="Times New Roman" w:hAnsi="Times New Roman" w:cs="Times New Roman"/>
          <w:sz w:val="24"/>
          <w:szCs w:val="24"/>
        </w:rPr>
        <w:t>uzyskanej z Ministerstwa Finansów</w:t>
      </w:r>
      <w:r w:rsidR="003604EB" w:rsidRPr="00CF7109">
        <w:rPr>
          <w:rFonts w:ascii="Times New Roman" w:hAnsi="Times New Roman" w:cs="Times New Roman"/>
          <w:sz w:val="24"/>
          <w:szCs w:val="24"/>
        </w:rPr>
        <w:t xml:space="preserve"> </w:t>
      </w:r>
      <w:r w:rsidR="00C4601D" w:rsidRPr="00CF7109">
        <w:rPr>
          <w:rFonts w:ascii="Times New Roman" w:hAnsi="Times New Roman" w:cs="Times New Roman"/>
          <w:sz w:val="24"/>
          <w:szCs w:val="24"/>
        </w:rPr>
        <w:t>zmniejszono plan dochodów z tytułu subwencji oświatowej o kwotę 119.709 zł oraz z tytułu podatku dochodowego od osób fizycznych o kwotę 7.216 zł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601D" w:rsidRPr="00C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1D" w:rsidRPr="00CF7109" w:rsidRDefault="00E6104E" w:rsidP="00CF710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09">
        <w:rPr>
          <w:rFonts w:ascii="Times New Roman" w:hAnsi="Times New Roman" w:cs="Times New Roman"/>
          <w:sz w:val="24"/>
          <w:szCs w:val="24"/>
        </w:rPr>
        <w:t>uzyskan</w:t>
      </w:r>
      <w:r w:rsidR="00B13DE8">
        <w:rPr>
          <w:rFonts w:ascii="Times New Roman" w:hAnsi="Times New Roman" w:cs="Times New Roman"/>
          <w:sz w:val="24"/>
          <w:szCs w:val="24"/>
        </w:rPr>
        <w:t>ia</w:t>
      </w:r>
      <w:r w:rsidRPr="00CF7109">
        <w:rPr>
          <w:rFonts w:ascii="Times New Roman" w:hAnsi="Times New Roman" w:cs="Times New Roman"/>
          <w:sz w:val="24"/>
          <w:szCs w:val="24"/>
        </w:rPr>
        <w:t xml:space="preserve"> dofinansowani</w:t>
      </w:r>
      <w:r w:rsidR="00B13DE8">
        <w:rPr>
          <w:rFonts w:ascii="Times New Roman" w:hAnsi="Times New Roman" w:cs="Times New Roman"/>
          <w:sz w:val="24"/>
          <w:szCs w:val="24"/>
        </w:rPr>
        <w:t>a</w:t>
      </w:r>
      <w:r w:rsidRPr="00CF7109">
        <w:rPr>
          <w:rFonts w:ascii="Times New Roman" w:hAnsi="Times New Roman" w:cs="Times New Roman"/>
          <w:sz w:val="24"/>
          <w:szCs w:val="24"/>
        </w:rPr>
        <w:t xml:space="preserve"> </w:t>
      </w:r>
      <w:r w:rsidRPr="00CF7109">
        <w:rPr>
          <w:rFonts w:ascii="Times New Roman" w:hAnsi="Times New Roman" w:cs="Times New Roman"/>
          <w:sz w:val="24"/>
          <w:szCs w:val="24"/>
        </w:rPr>
        <w:t xml:space="preserve">w wysokości 69.648,75 zł </w:t>
      </w:r>
      <w:r w:rsidRPr="00CF7109">
        <w:rPr>
          <w:rFonts w:ascii="Times New Roman" w:hAnsi="Times New Roman" w:cs="Times New Roman"/>
          <w:sz w:val="24"/>
          <w:szCs w:val="24"/>
        </w:rPr>
        <w:t>w ramach Programu Operacyjnego Polska Cyfrowa 2014</w:t>
      </w:r>
      <w:r w:rsidR="00CF7109">
        <w:rPr>
          <w:rFonts w:ascii="Times New Roman" w:hAnsi="Times New Roman" w:cs="Times New Roman"/>
          <w:sz w:val="24"/>
          <w:szCs w:val="24"/>
        </w:rPr>
        <w:t xml:space="preserve"> – </w:t>
      </w:r>
      <w:r w:rsidRPr="00CF7109">
        <w:rPr>
          <w:rFonts w:ascii="Times New Roman" w:hAnsi="Times New Roman" w:cs="Times New Roman"/>
          <w:sz w:val="24"/>
          <w:szCs w:val="24"/>
        </w:rPr>
        <w:t xml:space="preserve">2020 Oś priorytetowa I. Powszechny dostęp do szybkiego </w:t>
      </w:r>
      <w:proofErr w:type="spellStart"/>
      <w:r w:rsidRPr="00CF7109">
        <w:rPr>
          <w:rFonts w:ascii="Times New Roman" w:hAnsi="Times New Roman" w:cs="Times New Roman"/>
          <w:sz w:val="24"/>
          <w:szCs w:val="24"/>
        </w:rPr>
        <w:lastRenderedPageBreak/>
        <w:t>internetu</w:t>
      </w:r>
      <w:proofErr w:type="spellEnd"/>
      <w:r w:rsidRPr="00CF7109">
        <w:rPr>
          <w:rFonts w:ascii="Times New Roman" w:hAnsi="Times New Roman" w:cs="Times New Roman"/>
          <w:sz w:val="24"/>
          <w:szCs w:val="24"/>
        </w:rPr>
        <w:t xml:space="preserve"> Działanie 1.1 „Wyeliminowanie terytorialnych różnic w możliwości dostępu do szerokopasmowego </w:t>
      </w:r>
      <w:proofErr w:type="spellStart"/>
      <w:r w:rsidRPr="00CF710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F7109">
        <w:rPr>
          <w:rFonts w:ascii="Times New Roman" w:hAnsi="Times New Roman" w:cs="Times New Roman"/>
          <w:sz w:val="24"/>
          <w:szCs w:val="24"/>
        </w:rPr>
        <w:t xml:space="preserve"> o wysokich przepustowościach” z przeznaczeniem na zakup laptopów i dostępu do </w:t>
      </w:r>
      <w:proofErr w:type="spellStart"/>
      <w:r w:rsidRPr="00CF710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F7109">
        <w:rPr>
          <w:rFonts w:ascii="Times New Roman" w:hAnsi="Times New Roman" w:cs="Times New Roman"/>
          <w:sz w:val="24"/>
          <w:szCs w:val="24"/>
        </w:rPr>
        <w:t xml:space="preserve"> dla szkół podstawowych na terenie Miasta i Gminy Serock” (przygotowanie szkół do zdalnych lekcji)</w:t>
      </w:r>
      <w:r w:rsidR="00CF7109">
        <w:rPr>
          <w:rFonts w:ascii="Times New Roman" w:hAnsi="Times New Roman" w:cs="Times New Roman"/>
          <w:sz w:val="24"/>
          <w:szCs w:val="24"/>
        </w:rPr>
        <w:t>,</w:t>
      </w:r>
    </w:p>
    <w:p w:rsidR="00E82EC3" w:rsidRPr="00E6104E" w:rsidRDefault="00E82EC3" w:rsidP="00E82EC3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04E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łącznej wysokości                        </w:t>
      </w:r>
      <w:r w:rsidR="00E6104E" w:rsidRPr="00E6104E">
        <w:rPr>
          <w:rFonts w:ascii="Times New Roman" w:hAnsi="Times New Roman" w:cs="Times New Roman"/>
          <w:sz w:val="24"/>
          <w:szCs w:val="24"/>
        </w:rPr>
        <w:t>56</w:t>
      </w:r>
      <w:r w:rsidRPr="00E6104E">
        <w:rPr>
          <w:rFonts w:ascii="Times New Roman" w:hAnsi="Times New Roman" w:cs="Times New Roman"/>
          <w:sz w:val="24"/>
          <w:szCs w:val="24"/>
        </w:rPr>
        <w:t>.</w:t>
      </w:r>
      <w:r w:rsidR="00E6104E" w:rsidRPr="00E6104E">
        <w:rPr>
          <w:rFonts w:ascii="Times New Roman" w:hAnsi="Times New Roman" w:cs="Times New Roman"/>
          <w:sz w:val="24"/>
          <w:szCs w:val="24"/>
        </w:rPr>
        <w:t>350</w:t>
      </w:r>
      <w:r w:rsidRPr="00E6104E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E0DB4" w:rsidRDefault="002E0DB4" w:rsidP="002E0DB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D0DCE" w:rsidRPr="0036503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ab/>
        <w:t>W związku z wprowadzonymi zmianami w budżecie zwiększa się plan wydatków na rok 20</w:t>
      </w:r>
      <w:r w:rsidR="00464A50" w:rsidRPr="00365031">
        <w:rPr>
          <w:rFonts w:ascii="Times New Roman" w:hAnsi="Times New Roman" w:cs="Times New Roman"/>
          <w:sz w:val="24"/>
          <w:szCs w:val="24"/>
        </w:rPr>
        <w:t>20</w:t>
      </w:r>
      <w:r w:rsidRPr="00365031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052589">
        <w:rPr>
          <w:rFonts w:ascii="Times New Roman" w:hAnsi="Times New Roman" w:cs="Times New Roman"/>
          <w:b/>
          <w:bCs/>
          <w:sz w:val="24"/>
          <w:szCs w:val="24"/>
        </w:rPr>
        <w:t>266.476,11</w:t>
      </w:r>
      <w:r w:rsidR="00E82EC3" w:rsidRPr="00365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b/>
          <w:bCs/>
          <w:sz w:val="24"/>
          <w:szCs w:val="24"/>
        </w:rPr>
        <w:t>zł.,</w:t>
      </w:r>
      <w:r w:rsidRPr="00365031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:rsidR="008D0DCE" w:rsidRPr="00365031" w:rsidRDefault="008D0DCE" w:rsidP="008D0DCE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 xml:space="preserve">1. </w:t>
      </w:r>
      <w:r w:rsidR="00464A50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>z</w:t>
      </w:r>
      <w:r w:rsidR="00E82EC3" w:rsidRPr="00365031">
        <w:rPr>
          <w:rFonts w:ascii="Times New Roman" w:hAnsi="Times New Roman" w:cs="Times New Roman"/>
          <w:sz w:val="24"/>
          <w:szCs w:val="24"/>
        </w:rPr>
        <w:t>większenie</w:t>
      </w:r>
      <w:r w:rsidRPr="00365031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052589">
        <w:rPr>
          <w:rFonts w:ascii="Times New Roman" w:hAnsi="Times New Roman" w:cs="Times New Roman"/>
          <w:sz w:val="24"/>
          <w:szCs w:val="24"/>
        </w:rPr>
        <w:t>237.476,11</w:t>
      </w:r>
      <w:r w:rsidRPr="00365031">
        <w:rPr>
          <w:rFonts w:ascii="Times New Roman" w:hAnsi="Times New Roman" w:cs="Times New Roman"/>
          <w:sz w:val="24"/>
          <w:szCs w:val="24"/>
        </w:rPr>
        <w:t xml:space="preserve"> zł</w:t>
      </w:r>
      <w:r w:rsidR="00365031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="00365031" w:rsidRPr="00585426">
        <w:rPr>
          <w:rFonts w:ascii="Times New Roman" w:hAnsi="Times New Roman" w:cs="Times New Roman"/>
          <w:sz w:val="24"/>
          <w:szCs w:val="24"/>
        </w:rPr>
        <w:t>i rozdysponowuje się te środki dla poszczególnych jednostek w celu realizacji zadań im zleconych</w:t>
      </w:r>
      <w:r w:rsidR="00365031">
        <w:rPr>
          <w:rFonts w:ascii="Times New Roman" w:hAnsi="Times New Roman" w:cs="Times New Roman"/>
          <w:sz w:val="24"/>
          <w:szCs w:val="24"/>
        </w:rPr>
        <w:t>,</w:t>
      </w:r>
    </w:p>
    <w:p w:rsidR="00365031" w:rsidRDefault="008D0DCE" w:rsidP="00464A50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 xml:space="preserve">2. </w:t>
      </w:r>
      <w:r w:rsidR="00464A50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 xml:space="preserve">zwiększenie wydatków majątkowych o kwotę </w:t>
      </w:r>
      <w:r w:rsidR="00052589">
        <w:rPr>
          <w:rFonts w:ascii="Times New Roman" w:hAnsi="Times New Roman" w:cs="Times New Roman"/>
          <w:sz w:val="24"/>
          <w:szCs w:val="24"/>
        </w:rPr>
        <w:t>29.000</w:t>
      </w:r>
      <w:r w:rsidR="00365031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>zł</w:t>
      </w:r>
      <w:r w:rsidR="00365031">
        <w:rPr>
          <w:rFonts w:ascii="Times New Roman" w:hAnsi="Times New Roman" w:cs="Times New Roman"/>
          <w:sz w:val="24"/>
          <w:szCs w:val="24"/>
        </w:rPr>
        <w:t>,</w:t>
      </w:r>
      <w:r w:rsidR="00365031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="00365031" w:rsidRPr="00585426">
        <w:rPr>
          <w:rFonts w:ascii="Times New Roman" w:hAnsi="Times New Roman" w:cs="Times New Roman"/>
          <w:sz w:val="24"/>
          <w:szCs w:val="24"/>
        </w:rPr>
        <w:t>dostosowując nakłady finansowe do przewidywanego wykonania wydatków inwestycyjnych.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CE" w:rsidRPr="0036503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464A50" w:rsidRPr="00365031">
        <w:rPr>
          <w:rFonts w:ascii="Times New Roman" w:hAnsi="Times New Roman" w:cs="Times New Roman"/>
          <w:sz w:val="24"/>
          <w:szCs w:val="24"/>
        </w:rPr>
        <w:t>większa</w:t>
      </w:r>
      <w:r w:rsidRPr="00365031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052589">
        <w:rPr>
          <w:rFonts w:ascii="Times New Roman" w:hAnsi="Times New Roman" w:cs="Times New Roman"/>
          <w:sz w:val="24"/>
          <w:szCs w:val="24"/>
        </w:rPr>
        <w:t>159.777</w:t>
      </w:r>
      <w:r w:rsidRPr="0036503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106" w:rsidRPr="008A35B9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2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5B9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:rsidR="00F36106" w:rsidRPr="008A35B9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06" w:rsidRPr="00A95AA4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95AA4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A95AA4">
        <w:rPr>
          <w:rFonts w:ascii="Times New Roman" w:hAnsi="Times New Roman" w:cs="Times New Roman"/>
          <w:sz w:val="24"/>
          <w:szCs w:val="24"/>
        </w:rPr>
        <w:t>:</w:t>
      </w:r>
    </w:p>
    <w:p w:rsidR="002E0DB4" w:rsidRPr="00A95AA4" w:rsidRDefault="002E0DB4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CA46BB" w:rsidRPr="00A95AA4" w:rsidRDefault="00CA46BB" w:rsidP="004E07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A4">
        <w:rPr>
          <w:rFonts w:ascii="Times New Roman" w:hAnsi="Times New Roman" w:cs="Times New Roman"/>
          <w:bCs/>
          <w:sz w:val="24"/>
          <w:szCs w:val="24"/>
        </w:rPr>
        <w:t xml:space="preserve">„Zimowe utrzymanie dróg i chodników na terenie Miasta i Gminy Serock 2019/2020” </w:t>
      </w:r>
      <w:r w:rsidRPr="00A95AA4">
        <w:rPr>
          <w:rFonts w:ascii="Times New Roman" w:hAnsi="Times New Roman" w:cs="Times New Roman"/>
          <w:sz w:val="24"/>
          <w:szCs w:val="24"/>
        </w:rPr>
        <w:t xml:space="preserve">– zmniejsza się łączne nakłady o kwotę </w:t>
      </w:r>
      <w:r w:rsidR="008A35B9" w:rsidRPr="00A95AA4">
        <w:rPr>
          <w:rFonts w:ascii="Times New Roman" w:hAnsi="Times New Roman" w:cs="Times New Roman"/>
          <w:sz w:val="24"/>
          <w:szCs w:val="24"/>
        </w:rPr>
        <w:t>197.308,80</w:t>
      </w:r>
      <w:r w:rsidRPr="00A95AA4">
        <w:rPr>
          <w:rFonts w:ascii="Times New Roman" w:hAnsi="Times New Roman" w:cs="Times New Roman"/>
          <w:sz w:val="24"/>
          <w:szCs w:val="24"/>
        </w:rPr>
        <w:t xml:space="preserve"> zł, </w:t>
      </w:r>
      <w:r w:rsidRPr="00A95AA4">
        <w:rPr>
          <w:rFonts w:ascii="Times New Roman" w:hAnsi="Times New Roman" w:cs="Times New Roman"/>
          <w:bCs/>
          <w:sz w:val="24"/>
          <w:szCs w:val="24"/>
        </w:rPr>
        <w:t>w związku z</w:t>
      </w:r>
      <w:r w:rsidR="00793631" w:rsidRPr="00A95AA4">
        <w:rPr>
          <w:rFonts w:ascii="Times New Roman" w:hAnsi="Times New Roman" w:cs="Times New Roman"/>
          <w:bCs/>
          <w:sz w:val="24"/>
          <w:szCs w:val="24"/>
        </w:rPr>
        <w:t xml:space="preserve"> niższymi kosztami realizacji przedsięwzięcia, z uwagi  na sprzyjające warunki atmosferyczn</w:t>
      </w:r>
      <w:r w:rsidR="00A95AA4" w:rsidRPr="00A95AA4">
        <w:rPr>
          <w:rFonts w:ascii="Times New Roman" w:hAnsi="Times New Roman" w:cs="Times New Roman"/>
          <w:bCs/>
          <w:sz w:val="24"/>
          <w:szCs w:val="24"/>
        </w:rPr>
        <w:t xml:space="preserve">e. </w:t>
      </w:r>
    </w:p>
    <w:p w:rsidR="002E0DB4" w:rsidRPr="00052589" w:rsidRDefault="002E0DB4" w:rsidP="00B7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EB397B" w:rsidRPr="00052589" w:rsidRDefault="00EB397B" w:rsidP="00EB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397B" w:rsidRPr="00052589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8A4F63"/>
    <w:multiLevelType w:val="hybridMultilevel"/>
    <w:tmpl w:val="B71080AE"/>
    <w:lvl w:ilvl="0" w:tplc="33AA89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63B"/>
    <w:multiLevelType w:val="hybridMultilevel"/>
    <w:tmpl w:val="95102E5A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6503"/>
    <w:multiLevelType w:val="hybridMultilevel"/>
    <w:tmpl w:val="28802038"/>
    <w:lvl w:ilvl="0" w:tplc="A7C4B21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1C720F"/>
    <w:multiLevelType w:val="hybridMultilevel"/>
    <w:tmpl w:val="61068A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E0450"/>
    <w:multiLevelType w:val="hybridMultilevel"/>
    <w:tmpl w:val="612AE594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8"/>
  </w:num>
  <w:num w:numId="7">
    <w:abstractNumId w:val="11"/>
  </w:num>
  <w:num w:numId="8">
    <w:abstractNumId w:val="14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07C69"/>
    <w:rsid w:val="00052589"/>
    <w:rsid w:val="000C3C85"/>
    <w:rsid w:val="000E11B6"/>
    <w:rsid w:val="000F216E"/>
    <w:rsid w:val="00103DC7"/>
    <w:rsid w:val="001530C8"/>
    <w:rsid w:val="001726B0"/>
    <w:rsid w:val="001859B8"/>
    <w:rsid w:val="00194208"/>
    <w:rsid w:val="001F347C"/>
    <w:rsid w:val="00202E01"/>
    <w:rsid w:val="00262C5C"/>
    <w:rsid w:val="0029581A"/>
    <w:rsid w:val="002D6B53"/>
    <w:rsid w:val="002E0DB4"/>
    <w:rsid w:val="00334674"/>
    <w:rsid w:val="00340D02"/>
    <w:rsid w:val="003453F9"/>
    <w:rsid w:val="003604EB"/>
    <w:rsid w:val="00365031"/>
    <w:rsid w:val="00390320"/>
    <w:rsid w:val="003A1BBE"/>
    <w:rsid w:val="003B7BFD"/>
    <w:rsid w:val="003C69C3"/>
    <w:rsid w:val="003D5F13"/>
    <w:rsid w:val="003E0688"/>
    <w:rsid w:val="003F7E3C"/>
    <w:rsid w:val="00464A50"/>
    <w:rsid w:val="004A77A1"/>
    <w:rsid w:val="004E076C"/>
    <w:rsid w:val="00517A2A"/>
    <w:rsid w:val="0054636A"/>
    <w:rsid w:val="0056248E"/>
    <w:rsid w:val="006C652E"/>
    <w:rsid w:val="006F142B"/>
    <w:rsid w:val="007279FF"/>
    <w:rsid w:val="007357A9"/>
    <w:rsid w:val="00745417"/>
    <w:rsid w:val="00745756"/>
    <w:rsid w:val="0077176E"/>
    <w:rsid w:val="0078038A"/>
    <w:rsid w:val="00793631"/>
    <w:rsid w:val="007D370D"/>
    <w:rsid w:val="00847AFD"/>
    <w:rsid w:val="00854B89"/>
    <w:rsid w:val="008A35B9"/>
    <w:rsid w:val="008A44BA"/>
    <w:rsid w:val="008C3ED4"/>
    <w:rsid w:val="008D0DCE"/>
    <w:rsid w:val="00924DC1"/>
    <w:rsid w:val="00934ECC"/>
    <w:rsid w:val="009E4418"/>
    <w:rsid w:val="00A95AA4"/>
    <w:rsid w:val="00B13DE8"/>
    <w:rsid w:val="00B42399"/>
    <w:rsid w:val="00B7610C"/>
    <w:rsid w:val="00BF15B7"/>
    <w:rsid w:val="00C414C0"/>
    <w:rsid w:val="00C4601D"/>
    <w:rsid w:val="00C565A2"/>
    <w:rsid w:val="00C95CA6"/>
    <w:rsid w:val="00C95E25"/>
    <w:rsid w:val="00C97379"/>
    <w:rsid w:val="00CA46BB"/>
    <w:rsid w:val="00CB3ECE"/>
    <w:rsid w:val="00CF7109"/>
    <w:rsid w:val="00D03869"/>
    <w:rsid w:val="00D171C1"/>
    <w:rsid w:val="00D72317"/>
    <w:rsid w:val="00D92EF2"/>
    <w:rsid w:val="00DA07BC"/>
    <w:rsid w:val="00DD3B2B"/>
    <w:rsid w:val="00E13BB8"/>
    <w:rsid w:val="00E50D70"/>
    <w:rsid w:val="00E6104E"/>
    <w:rsid w:val="00E75A05"/>
    <w:rsid w:val="00E82EC3"/>
    <w:rsid w:val="00EB397B"/>
    <w:rsid w:val="00F3161A"/>
    <w:rsid w:val="00F36106"/>
    <w:rsid w:val="00F437A8"/>
    <w:rsid w:val="00FD28A1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B207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EAD5-97B7-4CE3-90A4-5E6E1830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2267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12</cp:revision>
  <cp:lastPrinted>2020-04-21T09:53:00Z</cp:lastPrinted>
  <dcterms:created xsi:type="dcterms:W3CDTF">2020-04-21T09:41:00Z</dcterms:created>
  <dcterms:modified xsi:type="dcterms:W3CDTF">2020-04-21T13:19:00Z</dcterms:modified>
</cp:coreProperties>
</file>