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2028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18 ust. 2 pkt 10 i pkt 15 ustawy z dnia 8 marca 1990r. o samorządzie gminnym (Dz.U. z 2019r. poz. 506) oraz art. 226, art. 227, art. 228, art. 233,  art. 243 i art. 258 ustawy z dnia 27 sierpnia 2009r. o finansach publicznych (Dz.U. z 2017r., poz. 2077 z </w:t>
      </w:r>
      <w:proofErr w:type="spellStart"/>
      <w:r w:rsidRPr="0057501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57501F">
        <w:rPr>
          <w:rFonts w:ascii="Times New Roman" w:hAnsi="Times New Roman" w:cs="Times New Roman"/>
          <w:color w:val="000000"/>
          <w:sz w:val="24"/>
          <w:szCs w:val="24"/>
        </w:rPr>
        <w:t>. zm.), Rada 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E942EE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1. Zmienia się Wieloletnią Prognozę Finansową Miasta i Gminy Serock na lata 2019 – 2028, zgodnie z załącznikiem nr 1 do niniejszej uchwały.</w:t>
      </w:r>
    </w:p>
    <w:p w:rsidR="0057501F" w:rsidRPr="0057501F" w:rsidRDefault="0057501F" w:rsidP="00E942EE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2. Wieloletnia Prognoza Finansowa, o której mowa w ust. 1 sta</w:t>
      </w:r>
      <w:bookmarkStart w:id="0" w:name="_GoBack"/>
      <w:bookmarkEnd w:id="0"/>
      <w:r w:rsidRPr="0057501F">
        <w:rPr>
          <w:rFonts w:ascii="Times New Roman" w:hAnsi="Times New Roman" w:cs="Times New Roman"/>
          <w:color w:val="000000"/>
          <w:sz w:val="24"/>
          <w:szCs w:val="24"/>
        </w:rPr>
        <w:t>je się Wieloletnią Prognozą Finansową Miasta i Gminy Serock na lata 2019 - 2034.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57501F"/>
    <w:rsid w:val="00E17464"/>
    <w:rsid w:val="00E9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5410-830A-4447-B9A4-66E7A464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2</cp:revision>
  <dcterms:created xsi:type="dcterms:W3CDTF">2019-04-18T07:02:00Z</dcterms:created>
  <dcterms:modified xsi:type="dcterms:W3CDTF">2019-04-18T07:03:00Z</dcterms:modified>
</cp:coreProperties>
</file>