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D01D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29/V/2019</w:t>
      </w: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D01D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stycznia 2019r. </w:t>
      </w: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42427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C424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zmiany Wieloletniej</w:t>
      </w:r>
      <w:r w:rsidRPr="00C424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24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424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2019 – 2028</w:t>
      </w: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18 ust. 2 pkt 10 i pkt 15 ustawy z dnia 8 marca 1990r. o samorządzie gminnym (Dz.U. z 2018r. poz. 994 z </w:t>
      </w:r>
      <w:proofErr w:type="spellStart"/>
      <w:r w:rsidRPr="00C4242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42427">
        <w:rPr>
          <w:rFonts w:ascii="Times New Roman" w:hAnsi="Times New Roman" w:cs="Times New Roman"/>
          <w:color w:val="000000"/>
          <w:sz w:val="24"/>
          <w:szCs w:val="24"/>
        </w:rPr>
        <w:t xml:space="preserve">. zm.) oraz art. 226, art. 227, art. 228, art. 233,  art. 243 i art. 258 ustawy z dnia 27 sierpnia 2009r. o finansach publicznych (Dz.U. z 2017r., poz. 2077 z </w:t>
      </w:r>
      <w:proofErr w:type="spellStart"/>
      <w:r w:rsidRPr="00C4242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42427">
        <w:rPr>
          <w:rFonts w:ascii="Times New Roman" w:hAnsi="Times New Roman" w:cs="Times New Roman"/>
          <w:color w:val="000000"/>
          <w:sz w:val="24"/>
          <w:szCs w:val="24"/>
        </w:rPr>
        <w:t>. zm.), Rada Miejska w Serocku uchwala co następuje:</w:t>
      </w: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27">
        <w:rPr>
          <w:rFonts w:ascii="Times New Roman" w:hAnsi="Times New Roman" w:cs="Times New Roman"/>
          <w:color w:val="000000"/>
          <w:sz w:val="24"/>
          <w:szCs w:val="24"/>
        </w:rPr>
        <w:t>Zmienia się Wieloletnią Prognozę Finansową Miasta i Gminy Serock na lata 2019 – 2028, zgodnie z załącznikiem nr 1 do niniejszej uchwały.</w:t>
      </w: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27">
        <w:rPr>
          <w:rFonts w:ascii="Times New Roman" w:hAnsi="Times New Roman" w:cs="Times New Roman"/>
          <w:color w:val="000000"/>
          <w:sz w:val="24"/>
          <w:szCs w:val="24"/>
        </w:rPr>
        <w:t>Zmienia się wykaz przedsięwzięć do WPF, zgodnie z załącznikiem nr 2 do niniejszej uchwały.</w:t>
      </w: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27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27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 i podlega ogłoszeniu w trybie przewidzianym dla aktów prawa miejscowego.</w:t>
      </w:r>
    </w:p>
    <w:p w:rsidR="00937A3D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937A3D" w:rsidRDefault="00937A3D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3D" w:rsidRDefault="00937A3D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427" w:rsidRPr="00C42427" w:rsidRDefault="00C42427" w:rsidP="00C42427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4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937A3D" w:rsidRPr="00937A3D" w:rsidRDefault="00937A3D" w:rsidP="00937A3D">
      <w:pPr>
        <w:spacing w:after="0"/>
        <w:ind w:firstLine="368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7A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Przewodniczący </w:t>
      </w:r>
    </w:p>
    <w:p w:rsidR="00937A3D" w:rsidRPr="00937A3D" w:rsidRDefault="00937A3D" w:rsidP="00937A3D">
      <w:pPr>
        <w:spacing w:after="0"/>
        <w:ind w:firstLine="368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7A3D">
        <w:rPr>
          <w:rFonts w:ascii="Times New Roman" w:hAnsi="Times New Roman" w:cs="Times New Roman"/>
          <w:i/>
          <w:color w:val="000000"/>
          <w:sz w:val="24"/>
          <w:szCs w:val="24"/>
        </w:rPr>
        <w:t>Rady Miejskiej w Serocku</w:t>
      </w:r>
    </w:p>
    <w:p w:rsidR="00937A3D" w:rsidRPr="00937A3D" w:rsidRDefault="00937A3D" w:rsidP="00937A3D">
      <w:pPr>
        <w:spacing w:after="0"/>
        <w:ind w:firstLine="368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7A3D">
        <w:rPr>
          <w:rFonts w:ascii="Times New Roman" w:hAnsi="Times New Roman" w:cs="Times New Roman"/>
          <w:i/>
          <w:color w:val="000000"/>
          <w:sz w:val="24"/>
          <w:szCs w:val="24"/>
        </w:rPr>
        <w:t>Mariusz Rosiński</w:t>
      </w:r>
    </w:p>
    <w:p w:rsidR="004F4532" w:rsidRDefault="004F4532">
      <w:bookmarkStart w:id="0" w:name="_GoBack"/>
      <w:bookmarkEnd w:id="0"/>
    </w:p>
    <w:sectPr w:rsidR="004F4532" w:rsidSect="00BA034D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27"/>
    <w:rsid w:val="004F4532"/>
    <w:rsid w:val="00937A3D"/>
    <w:rsid w:val="00C42427"/>
    <w:rsid w:val="00D0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C3836-9071-47CD-BE0F-7D7BDABF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Biuro13</cp:lastModifiedBy>
  <cp:revision>3</cp:revision>
  <cp:lastPrinted>2019-01-31T13:31:00Z</cp:lastPrinted>
  <dcterms:created xsi:type="dcterms:W3CDTF">2019-01-18T14:34:00Z</dcterms:created>
  <dcterms:modified xsi:type="dcterms:W3CDTF">2019-02-04T10:58:00Z</dcterms:modified>
</cp:coreProperties>
</file>