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B3E" w:rsidRDefault="00A77B3E">
      <w:pPr>
        <w:ind w:left="5669"/>
        <w:jc w:val="left"/>
        <w:rPr>
          <w:sz w:val="20"/>
        </w:rPr>
      </w:pPr>
      <w:bookmarkStart w:id="0" w:name="_GoBack"/>
      <w:bookmarkEnd w:id="0"/>
    </w:p>
    <w:p w:rsidR="00A77B3E" w:rsidRDefault="001704FE">
      <w:pPr>
        <w:jc w:val="center"/>
        <w:rPr>
          <w:b/>
          <w:caps/>
        </w:rPr>
      </w:pPr>
      <w:r>
        <w:rPr>
          <w:b/>
          <w:caps/>
        </w:rPr>
        <w:t>Uchwała Nr ....................</w:t>
      </w:r>
      <w:r>
        <w:rPr>
          <w:b/>
          <w:caps/>
        </w:rPr>
        <w:br/>
        <w:t>Rady Miejskiej w Serocku</w:t>
      </w:r>
    </w:p>
    <w:p w:rsidR="00A77B3E" w:rsidRDefault="001704FE">
      <w:pPr>
        <w:spacing w:before="280" w:after="280"/>
        <w:jc w:val="center"/>
        <w:rPr>
          <w:b/>
          <w:caps/>
        </w:rPr>
      </w:pPr>
      <w:r>
        <w:t>z dnia .................... 2024 r.</w:t>
      </w:r>
    </w:p>
    <w:p w:rsidR="00A77B3E" w:rsidRDefault="001704FE">
      <w:pPr>
        <w:keepNext/>
        <w:spacing w:after="480"/>
        <w:jc w:val="center"/>
      </w:pPr>
      <w:r>
        <w:rPr>
          <w:b/>
        </w:rPr>
        <w:t>w sprawie rozpatrzenia petycji</w:t>
      </w:r>
    </w:p>
    <w:p w:rsidR="00A77B3E" w:rsidRDefault="001704FE">
      <w:pPr>
        <w:keepLines/>
        <w:spacing w:before="120" w:after="120"/>
        <w:ind w:firstLine="227"/>
      </w:pPr>
      <w:r>
        <w:t xml:space="preserve">Na podstawie art. 18b ust. 1 ustawy z dnia 8 marca </w:t>
      </w:r>
      <w:r w:rsidR="003A2D6D">
        <w:t xml:space="preserve">1990 roku o samorządzie gminnym </w:t>
      </w:r>
      <w:r>
        <w:t>(Dz. U. z 2023r. poz. 40 ze zm.) oraz art. 9 ust. 2, art. 10 ust. 1 oraz art. 13 ust. 1 ustawy z dnia 11 lipca 2014 r. o petycjach (Dz. U. z 2018 r. poz. 870) Rada Miejska w Serocku uchwala, co następuje:</w:t>
      </w:r>
    </w:p>
    <w:p w:rsidR="00A77B3E" w:rsidRDefault="001704FE">
      <w:pPr>
        <w:keepLines/>
        <w:spacing w:before="120" w:after="120"/>
        <w:ind w:firstLine="340"/>
      </w:pPr>
      <w:r>
        <w:rPr>
          <w:b/>
        </w:rPr>
        <w:t>§ 1. </w:t>
      </w:r>
      <w:r>
        <w:t>Po rozpatrzeniu petycji wniesionej w dniu 24.11.</w:t>
      </w:r>
      <w:r w:rsidR="003A2D6D">
        <w:t xml:space="preserve">2023r. w sprawie zmiany uchwały </w:t>
      </w:r>
      <w:r>
        <w:t>Nr 481/XLIII/2021 Rady Miejskiej w Serocku z dnia 17 listopada 2021r. w sprawie zarządzenia poboru podatków: rolnego, leśnego, od nieruchomości, opłaty targowej, opłaty miejscowej w drodze inkasa, określenia inkasentów i wysokości wynagrodzenia za inkaso, Rada Miejska w Serocku postanawia udzielić odpowiedzi na wniesioną petycję zgodnie z załącznikiem do niniejszej uchwały.</w:t>
      </w:r>
    </w:p>
    <w:p w:rsidR="00A77B3E" w:rsidRDefault="001704FE">
      <w:pPr>
        <w:keepLines/>
        <w:spacing w:before="120" w:after="120"/>
        <w:ind w:firstLine="340"/>
      </w:pPr>
      <w:r>
        <w:rPr>
          <w:b/>
        </w:rPr>
        <w:t>§ 2. </w:t>
      </w:r>
      <w:r>
        <w:t>Uzasadnienie dla sposobu rozpatrzenia petycji stanowi załącznik do niniejszej uchwały.</w:t>
      </w:r>
    </w:p>
    <w:p w:rsidR="00A77B3E" w:rsidRDefault="001704FE">
      <w:pPr>
        <w:keepLines/>
        <w:spacing w:before="120" w:after="120"/>
        <w:ind w:firstLine="340"/>
      </w:pPr>
      <w:r>
        <w:rPr>
          <w:b/>
        </w:rPr>
        <w:t>§ 3. </w:t>
      </w:r>
      <w:r>
        <w:t>O sposobie rozpatrzenia petycji Przewodniczący Rady Miejskiej zawiadomi wnoszącego.</w:t>
      </w:r>
    </w:p>
    <w:p w:rsidR="00A77B3E" w:rsidRDefault="001704FE">
      <w:pPr>
        <w:keepLines/>
        <w:spacing w:before="120" w:after="120"/>
        <w:ind w:firstLine="340"/>
      </w:pPr>
      <w:r>
        <w:rPr>
          <w:b/>
        </w:rPr>
        <w:t>§ 4. </w:t>
      </w:r>
      <w:r>
        <w:t>Uchwała wchodzi w życie z dniem podjęcia.</w:t>
      </w:r>
    </w:p>
    <w:p w:rsidR="003A2D6D" w:rsidRDefault="003A2D6D">
      <w:pPr>
        <w:keepLines/>
        <w:spacing w:before="120" w:after="120"/>
        <w:ind w:firstLine="340"/>
        <w:sectPr w:rsidR="003A2D6D">
          <w:endnotePr>
            <w:numFmt w:val="decimal"/>
          </w:endnotePr>
          <w:pgSz w:w="11906" w:h="16838"/>
          <w:pgMar w:top="850" w:right="850" w:bottom="1417" w:left="850" w:header="708" w:footer="708" w:gutter="0"/>
          <w:cols w:space="708"/>
          <w:docGrid w:linePitch="360"/>
        </w:sectPr>
      </w:pPr>
    </w:p>
    <w:p w:rsidR="00A77B3E" w:rsidRDefault="001704FE">
      <w:pPr>
        <w:spacing w:before="120" w:after="120" w:line="360" w:lineRule="auto"/>
        <w:ind w:left="6021"/>
        <w:jc w:val="left"/>
      </w:pPr>
      <w:r>
        <w:lastRenderedPageBreak/>
        <w:fldChar w:fldCharType="begin"/>
      </w:r>
      <w:r>
        <w:fldChar w:fldCharType="end"/>
      </w:r>
      <w:r>
        <w:t>Załącznik do uchwały Nr ....................</w:t>
      </w:r>
      <w:r>
        <w:br/>
        <w:t>Rady Miejskiej w Serocku</w:t>
      </w:r>
      <w:r>
        <w:br/>
        <w:t>z dnia....................2024 r.</w:t>
      </w:r>
    </w:p>
    <w:p w:rsidR="00A77B3E" w:rsidRDefault="001704FE">
      <w:pPr>
        <w:spacing w:before="120" w:after="120"/>
        <w:ind w:left="283" w:firstLine="227"/>
        <w:jc w:val="center"/>
        <w:rPr>
          <w:color w:val="000000"/>
          <w:u w:color="000000"/>
        </w:rPr>
      </w:pPr>
      <w:r>
        <w:rPr>
          <w:b/>
        </w:rPr>
        <w:t>Uzasadnienie dla rozpatrzenia petycji</w:t>
      </w:r>
    </w:p>
    <w:p w:rsidR="00A77B3E" w:rsidRDefault="001704FE">
      <w:pPr>
        <w:spacing w:before="120" w:after="120"/>
        <w:ind w:left="283" w:firstLine="227"/>
        <w:rPr>
          <w:color w:val="000000"/>
          <w:u w:color="000000"/>
        </w:rPr>
      </w:pPr>
      <w:r>
        <w:rPr>
          <w:color w:val="000000"/>
          <w:u w:color="000000"/>
        </w:rPr>
        <w:t>Do Rady Miejskiej w Serocku w dniu 24.11.2023r. wpłynęła petycja w sprawie zmiany uchwały Nr 481/XLIII/2021 Rady Miejskiej w Serocku z dnia 17 listopada 2021r. w sprawie zarządzenia poboru podatków: rolnego, leśnego, od nieruchomości, opłaty targowej, opłaty miejscowej w drodze inkasa, określenia inkasentów i wysokości wynagrodzenia za inkaso.</w:t>
      </w:r>
    </w:p>
    <w:p w:rsidR="00A77B3E" w:rsidRDefault="001704FE">
      <w:pPr>
        <w:spacing w:before="120" w:after="120"/>
        <w:ind w:left="283" w:firstLine="227"/>
        <w:rPr>
          <w:color w:val="000000"/>
          <w:u w:color="000000"/>
        </w:rPr>
      </w:pPr>
      <w:r>
        <w:rPr>
          <w:color w:val="000000"/>
          <w:u w:color="000000"/>
        </w:rPr>
        <w:t xml:space="preserve">Na podstawie § 141b Statutu gminy Miasto i Gmina Serock stanowiącego załącznik do uchwały Nr 378/XL/2013 Rady Miejskiej w Serocku z dnia 2 października 2013 r. w sprawie ogłoszenia tekstu jednolitego statutu gminy Miasto i Gmina Serock (Dz. Urz. Woj. Maz. z 2013r. poz. 12936 z późn.zm), Przewodniczący Rady Miejskiej w Serocku skierował petycję do Komisji Skarg, Wniosków i Petycji w celu zbadania jej zasadności. Na posiedzeniu w dniu 11.12.2023r. komisja zapoznała się z dokumentem i oceniła, </w:t>
      </w:r>
      <w:r w:rsidR="003A2D6D">
        <w:rPr>
          <w:color w:val="000000"/>
          <w:u w:color="000000"/>
        </w:rPr>
        <w:br/>
      </w:r>
      <w:r>
        <w:rPr>
          <w:color w:val="000000"/>
          <w:u w:color="000000"/>
        </w:rPr>
        <w:t>że forma wniesienia i treść wyczerpują znamiona petycji, określone w art. 4 ustawy o petycjach, a Rada Miejska w Serocku jest organem właściwym do jej rozpatrzenia.</w:t>
      </w:r>
    </w:p>
    <w:p w:rsidR="00A77B3E" w:rsidRDefault="001704FE">
      <w:pPr>
        <w:spacing w:before="120" w:after="120"/>
        <w:ind w:left="283" w:firstLine="227"/>
        <w:rPr>
          <w:color w:val="000000"/>
          <w:u w:color="000000"/>
        </w:rPr>
      </w:pPr>
      <w:r>
        <w:rPr>
          <w:color w:val="000000"/>
          <w:u w:color="000000"/>
        </w:rPr>
        <w:t>Po dokonaniu analizy petycji komisja ustaliła, że ww. uchwała została przyjęta w odpowiedzi na inicjatywę Burmistrza Miasta i Gminy Serock. Celem uchwały było stworzenie dodatkowej możliwości zapłaty podatków przez mieszkańców Miasta i Gminy Serock.</w:t>
      </w:r>
    </w:p>
    <w:p w:rsidR="00A77B3E" w:rsidRDefault="001704FE">
      <w:pPr>
        <w:spacing w:before="120" w:after="120"/>
        <w:ind w:left="283" w:firstLine="227"/>
        <w:rPr>
          <w:color w:val="000000"/>
          <w:u w:color="000000"/>
        </w:rPr>
      </w:pPr>
      <w:r>
        <w:rPr>
          <w:color w:val="000000"/>
          <w:u w:color="000000"/>
        </w:rPr>
        <w:t>Z posiadanych informacji wynika, że dla części podatników istotne jest dokonywanie zapłaty najbliżej ich miejsca zamieszkania. Utrzymanie tej formy zapłaty podatku jest uzasadnione również tym, że ma duży wpływ na terminowość zapłaty podatków co z pewnością przyczynia się do zmniejszenia zaległości podatkowych.</w:t>
      </w:r>
    </w:p>
    <w:p w:rsidR="00A77B3E" w:rsidRDefault="001704FE">
      <w:pPr>
        <w:spacing w:before="120" w:after="120"/>
        <w:ind w:left="283" w:firstLine="227"/>
        <w:rPr>
          <w:color w:val="000000"/>
          <w:u w:color="000000"/>
        </w:rPr>
      </w:pPr>
      <w:r>
        <w:rPr>
          <w:color w:val="000000"/>
          <w:u w:color="000000"/>
        </w:rPr>
        <w:t>Zgodnie z art. 59 § 1 pkt 2 ustawy Ordynacja podatkowa zobowiązanie podatkowe wygasa w całości lub w części wskutek pobrania podatku przez inkasenta. Pobranie podatku przez inkasenta jest zatem formą wygaśnięcia zobowiązania podatkowego, podobnie jak zapłata wskazana w art. 59 §1 pkt 1 ustawy Ordynacja podatkowa.</w:t>
      </w:r>
    </w:p>
    <w:p w:rsidR="00A77B3E" w:rsidRDefault="001704FE">
      <w:pPr>
        <w:spacing w:before="120" w:after="120"/>
        <w:ind w:left="283" w:firstLine="227"/>
        <w:rPr>
          <w:color w:val="000000"/>
          <w:u w:color="000000"/>
        </w:rPr>
      </w:pPr>
      <w:r>
        <w:rPr>
          <w:color w:val="000000"/>
          <w:u w:color="000000"/>
        </w:rPr>
        <w:t>Wpływy z tytułu poboru podatków w drodze inkasa wynoszą rocznie około 800 000,00 zł. Ewentualna zmiana w/w uchwały może spowodować mniejsze wpływy do budżetu Miasta i Gminy Serock z tytułu podatków.</w:t>
      </w:r>
      <w:r w:rsidR="00576D7D">
        <w:rPr>
          <w:color w:val="000000"/>
          <w:u w:color="000000"/>
        </w:rPr>
        <w:t xml:space="preserve"> Wybór formy dokonywania zapłaty podatków jest dobrowolny i należy do podatników.</w:t>
      </w:r>
    </w:p>
    <w:p w:rsidR="00A77B3E" w:rsidRDefault="001704FE">
      <w:pPr>
        <w:spacing w:before="120" w:after="120"/>
        <w:ind w:left="283" w:firstLine="227"/>
        <w:rPr>
          <w:color w:val="000000"/>
          <w:u w:color="000000"/>
        </w:rPr>
      </w:pPr>
      <w:r>
        <w:rPr>
          <w:color w:val="000000"/>
          <w:u w:color="000000"/>
        </w:rPr>
        <w:t>Odnośnie zarzutu zawartego w petycji dotyczącego niewskazania w uchwale imiennie inkasentów to należy stwierdzić, że w uchwale nr 503/</w:t>
      </w:r>
      <w:r w:rsidR="003A2D6D">
        <w:rPr>
          <w:color w:val="000000"/>
          <w:u w:color="000000"/>
        </w:rPr>
        <w:t>XlX</w:t>
      </w:r>
      <w:r>
        <w:rPr>
          <w:color w:val="000000"/>
          <w:u w:color="000000"/>
        </w:rPr>
        <w:t>/2021 Rady Miejskiej w Serocku z dnia 22 grudnia 2021 rok w załączniku nr 2 do uchwały wymieniono inkasentów imiennie.</w:t>
      </w:r>
    </w:p>
    <w:p w:rsidR="00A77B3E" w:rsidRDefault="001704FE">
      <w:pPr>
        <w:spacing w:before="120" w:after="120"/>
        <w:ind w:left="283" w:firstLine="227"/>
        <w:rPr>
          <w:color w:val="000000"/>
          <w:u w:color="000000"/>
        </w:rPr>
      </w:pPr>
      <w:r>
        <w:rPr>
          <w:color w:val="000000"/>
          <w:u w:color="000000"/>
        </w:rPr>
        <w:t>Mając powyższe na uwadze, po dokonaniu analizy wniesionej petycji w sprawie zmiany uchwały Nr 481/XLIII/2021 Rady Miejskiej w Serocku z dnia 17 listopada 2021r. w sprawie zarządzenia poboru podatków: rolnego, leśnego, od nieruchomości, opłaty targowej, opłaty miejscowej w drodze inkasa, określenia inkasentów i wysokości wynagrodzenia za inkaso oraz zapoznaniu się ze stanowiskiem Komisji Skarg, Wniosków i Petycji, Rada Miejska w Serocku postanawia udzielić powyższej odpowiedzi na przedmiotową petycję.</w:t>
      </w:r>
    </w:p>
    <w:sectPr w:rsidR="00A77B3E">
      <w:footerReference w:type="default" r:id="rId6"/>
      <w:endnotePr>
        <w:numFmt w:val="decimal"/>
      </w:endnotePr>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7448" w:rsidRDefault="00C57448">
      <w:r>
        <w:separator/>
      </w:r>
    </w:p>
  </w:endnote>
  <w:endnote w:type="continuationSeparator" w:id="0">
    <w:p w:rsidR="00C57448" w:rsidRDefault="00C5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81F" w:rsidRDefault="00F4081F">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7448" w:rsidRDefault="00C57448">
      <w:r>
        <w:separator/>
      </w:r>
    </w:p>
  </w:footnote>
  <w:footnote w:type="continuationSeparator" w:id="0">
    <w:p w:rsidR="00C57448" w:rsidRDefault="00C57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04FE"/>
    <w:rsid w:val="003A2D6D"/>
    <w:rsid w:val="00576D7D"/>
    <w:rsid w:val="00A77B3E"/>
    <w:rsid w:val="00C57448"/>
    <w:rsid w:val="00CA2A55"/>
    <w:rsid w:val="00CF107B"/>
    <w:rsid w:val="00E2325F"/>
    <w:rsid w:val="00E90BCD"/>
    <w:rsid w:val="00F408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93B31B-0A33-442C-BCBD-2639EF1C5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A2D6D"/>
    <w:pPr>
      <w:tabs>
        <w:tab w:val="center" w:pos="4536"/>
        <w:tab w:val="right" w:pos="9072"/>
      </w:tabs>
    </w:pPr>
  </w:style>
  <w:style w:type="character" w:customStyle="1" w:styleId="NagwekZnak">
    <w:name w:val="Nagłówek Znak"/>
    <w:basedOn w:val="Domylnaczcionkaakapitu"/>
    <w:link w:val="Nagwek"/>
    <w:rsid w:val="003A2D6D"/>
    <w:rPr>
      <w:sz w:val="22"/>
      <w:szCs w:val="24"/>
    </w:rPr>
  </w:style>
  <w:style w:type="paragraph" w:styleId="Stopka">
    <w:name w:val="footer"/>
    <w:basedOn w:val="Normalny"/>
    <w:link w:val="StopkaZnak"/>
    <w:unhideWhenUsed/>
    <w:rsid w:val="003A2D6D"/>
    <w:pPr>
      <w:tabs>
        <w:tab w:val="center" w:pos="4536"/>
        <w:tab w:val="right" w:pos="9072"/>
      </w:tabs>
    </w:pPr>
  </w:style>
  <w:style w:type="character" w:customStyle="1" w:styleId="StopkaZnak">
    <w:name w:val="Stopka Znak"/>
    <w:basedOn w:val="Domylnaczcionkaakapitu"/>
    <w:link w:val="Stopka"/>
    <w:rsid w:val="003A2D6D"/>
    <w:rPr>
      <w:sz w:val="22"/>
      <w:szCs w:val="24"/>
    </w:rPr>
  </w:style>
  <w:style w:type="paragraph" w:styleId="Tekstdymka">
    <w:name w:val="Balloon Text"/>
    <w:basedOn w:val="Normalny"/>
    <w:link w:val="TekstdymkaZnak"/>
    <w:semiHidden/>
    <w:unhideWhenUsed/>
    <w:rsid w:val="00576D7D"/>
    <w:rPr>
      <w:rFonts w:ascii="Segoe UI" w:hAnsi="Segoe UI" w:cs="Segoe UI"/>
      <w:sz w:val="18"/>
      <w:szCs w:val="18"/>
    </w:rPr>
  </w:style>
  <w:style w:type="character" w:customStyle="1" w:styleId="TekstdymkaZnak">
    <w:name w:val="Tekst dymka Znak"/>
    <w:basedOn w:val="Domylnaczcionkaakapitu"/>
    <w:link w:val="Tekstdymka"/>
    <w:semiHidden/>
    <w:rsid w:val="00576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3580</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Serocku</Company>
  <LinksUpToDate>false</LinksUpToDate>
  <CharactersWithSpaces>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rozpatrzenia petycji</dc:subject>
  <dc:creator>Biuro32</dc:creator>
  <cp:lastModifiedBy>Anna Brus</cp:lastModifiedBy>
  <cp:revision>2</cp:revision>
  <cp:lastPrinted>2024-01-29T14:10:00Z</cp:lastPrinted>
  <dcterms:created xsi:type="dcterms:W3CDTF">2024-01-29T14:31:00Z</dcterms:created>
  <dcterms:modified xsi:type="dcterms:W3CDTF">2024-01-29T14:31:00Z</dcterms:modified>
  <cp:category>Akt prawny</cp:category>
</cp:coreProperties>
</file>