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DB45" w14:textId="77777777" w:rsidR="006B13F2" w:rsidRDefault="004C2521">
      <w:pPr>
        <w:pStyle w:val="NormalnyWeb"/>
      </w:pPr>
      <w:r>
        <w:rPr>
          <w:b/>
          <w:bCs/>
        </w:rPr>
        <w:t>Rada Miejska w Serocku</w:t>
      </w:r>
      <w:r>
        <w:br/>
        <w:t>Komisja Rewizyjna</w:t>
      </w:r>
    </w:p>
    <w:p w14:paraId="39D19AF7" w14:textId="17ACA9BC" w:rsidR="006B13F2" w:rsidRDefault="004C2521">
      <w:pPr>
        <w:pStyle w:val="NormalnyWeb"/>
        <w:jc w:val="center"/>
      </w:pPr>
      <w:r>
        <w:rPr>
          <w:b/>
          <w:bCs/>
          <w:sz w:val="36"/>
          <w:szCs w:val="36"/>
        </w:rPr>
        <w:t xml:space="preserve">Protokół nr </w:t>
      </w:r>
      <w:r w:rsidR="009521C2">
        <w:rPr>
          <w:b/>
          <w:bCs/>
          <w:sz w:val="36"/>
          <w:szCs w:val="36"/>
        </w:rPr>
        <w:t>2/2022</w:t>
      </w:r>
    </w:p>
    <w:p w14:paraId="3932D8B6" w14:textId="77777777" w:rsidR="006B13F2" w:rsidRDefault="004C2521">
      <w:pPr>
        <w:pStyle w:val="NormalnyWeb"/>
      </w:pPr>
      <w:r>
        <w:t xml:space="preserve">2 Posiedzenie w dniu 14 lutego 2022 </w:t>
      </w:r>
      <w:r>
        <w:br/>
        <w:t>Obrady rozpoczęto 14 lutego 2022 o godz. 16:00, a zakończono o godz. 16:55 tego samego dnia.</w:t>
      </w:r>
    </w:p>
    <w:p w14:paraId="6EB095EE" w14:textId="77777777" w:rsidR="006B13F2" w:rsidRDefault="004C2521">
      <w:pPr>
        <w:pStyle w:val="NormalnyWeb"/>
      </w:pPr>
      <w:r>
        <w:t>W posiedzeniu wzięło udział 6 członków.</w:t>
      </w:r>
    </w:p>
    <w:p w14:paraId="0774C72C" w14:textId="77777777" w:rsidR="006B13F2" w:rsidRDefault="004C2521">
      <w:pPr>
        <w:pStyle w:val="NormalnyWeb"/>
      </w:pPr>
      <w:r>
        <w:t>Obecni:</w:t>
      </w:r>
    </w:p>
    <w:p w14:paraId="26099244" w14:textId="77777777" w:rsidR="006B13F2" w:rsidRDefault="004C2521">
      <w:pPr>
        <w:pStyle w:val="NormalnyWeb"/>
      </w:pPr>
      <w:r>
        <w:t>1. Teresa Krzyczkowska</w:t>
      </w:r>
      <w:r>
        <w:br/>
        <w:t>2. Gabriela Książyk</w:t>
      </w:r>
      <w:r>
        <w:br/>
        <w:t>3. Sławomir Osiwała</w:t>
      </w:r>
      <w:r>
        <w:br/>
        <w:t>4. Aneta Rogucka</w:t>
      </w:r>
      <w:r>
        <w:br/>
        <w:t>5. Wiesław Winnicki</w:t>
      </w:r>
      <w:r>
        <w:br/>
        <w:t>6. Krzysztof Zakolski</w:t>
      </w:r>
    </w:p>
    <w:p w14:paraId="608C8FC3" w14:textId="77777777" w:rsidR="00D065A0" w:rsidRPr="00D065A0" w:rsidRDefault="00D065A0" w:rsidP="00D065A0">
      <w:pPr>
        <w:pStyle w:val="NormalnyWeb"/>
        <w:spacing w:before="0" w:beforeAutospacing="0" w:after="0" w:afterAutospacing="0"/>
      </w:pPr>
      <w:r w:rsidRPr="00D065A0">
        <w:t>W posiedzeniu Komisji udział wzięli także:</w:t>
      </w:r>
    </w:p>
    <w:p w14:paraId="0B741E55" w14:textId="77777777" w:rsidR="00D065A0" w:rsidRPr="00D065A0" w:rsidRDefault="00D065A0" w:rsidP="00D065A0">
      <w:pPr>
        <w:pStyle w:val="NormalnyWeb"/>
        <w:spacing w:before="0" w:beforeAutospacing="0" w:after="0" w:afterAutospacing="0"/>
      </w:pPr>
      <w:r w:rsidRPr="00D065A0">
        <w:t>1. Monika Ordak – Skarbnik Miasta i Gminy Serock</w:t>
      </w:r>
    </w:p>
    <w:p w14:paraId="00BC6B57" w14:textId="77777777" w:rsidR="00D065A0" w:rsidRPr="00D065A0" w:rsidRDefault="00D065A0" w:rsidP="00D065A0">
      <w:pPr>
        <w:pStyle w:val="NormalnyWeb"/>
        <w:spacing w:before="0" w:beforeAutospacing="0" w:after="0" w:afterAutospacing="0"/>
      </w:pPr>
      <w:r w:rsidRPr="00D065A0">
        <w:t>2. Rafał Karpiński – Sekretarz Miasta i Gminy Serock</w:t>
      </w:r>
    </w:p>
    <w:p w14:paraId="4997B7F1" w14:textId="023D6FEF" w:rsidR="00D86739" w:rsidRDefault="00D065A0" w:rsidP="00C33595">
      <w:pPr>
        <w:pStyle w:val="NormalnyWeb"/>
        <w:spacing w:before="0" w:beforeAutospacing="0" w:after="0" w:afterAutospacing="0"/>
      </w:pPr>
      <w:r w:rsidRPr="00D065A0">
        <w:t xml:space="preserve">3. </w:t>
      </w:r>
      <w:r w:rsidR="007065B9">
        <w:t>Anna Orłowska</w:t>
      </w:r>
      <w:r w:rsidRPr="00D065A0">
        <w:t xml:space="preserve"> – </w:t>
      </w:r>
      <w:r w:rsidR="00C21881">
        <w:t>Kierownik Ośrodka Pomocy Społecznej</w:t>
      </w:r>
    </w:p>
    <w:p w14:paraId="09FBC552" w14:textId="77777777" w:rsidR="00C33595" w:rsidRPr="00C33595" w:rsidRDefault="00C33595" w:rsidP="00C33595">
      <w:pPr>
        <w:pStyle w:val="NormalnyWeb"/>
        <w:spacing w:before="0" w:beforeAutospacing="0" w:after="0" w:afterAutospacing="0"/>
      </w:pPr>
    </w:p>
    <w:p w14:paraId="06EACC37" w14:textId="77777777" w:rsidR="00D86739" w:rsidRDefault="004C2521">
      <w:pPr>
        <w:pStyle w:val="NormalnyWeb"/>
        <w:spacing w:after="240" w:afterAutospacing="0"/>
      </w:pPr>
      <w:r w:rsidRPr="009521C2">
        <w:rPr>
          <w:b/>
          <w:bCs/>
        </w:rPr>
        <w:t>1. Otwarcie posiedzenia i przedstawienie porządku obrad.</w:t>
      </w:r>
      <w:r>
        <w:br/>
      </w:r>
      <w:r>
        <w:br/>
      </w:r>
      <w:r w:rsidR="00D86739" w:rsidRPr="00D86739">
        <w:t>Posiedzenie Komisji Rewizyjnej otworzył Przewodniczący Komisji Rewizyjnej Pan Sławomir Osiwała powitał wszystkich zebranych oraz przedstawił porządek obrad:</w:t>
      </w:r>
    </w:p>
    <w:p w14:paraId="2E653437" w14:textId="77777777" w:rsidR="00D86739" w:rsidRDefault="00D86739" w:rsidP="00D86739">
      <w:pPr>
        <w:pStyle w:val="NormalnyWeb"/>
        <w:spacing w:before="0" w:beforeAutospacing="0" w:after="0" w:afterAutospacing="0"/>
      </w:pPr>
      <w:r>
        <w:t>1. Otwarcie posiedzenia i przedstawienie porządku obrad.</w:t>
      </w:r>
    </w:p>
    <w:p w14:paraId="7B90FEBD" w14:textId="5909B98D" w:rsidR="00D86739" w:rsidRDefault="00D86739" w:rsidP="00D86739">
      <w:pPr>
        <w:pStyle w:val="NormalnyWeb"/>
        <w:spacing w:before="0" w:beforeAutospacing="0" w:after="0" w:afterAutospacing="0"/>
      </w:pPr>
      <w:r>
        <w:t>2. Kontrola wydatkowania środków finansowych w ramach realizacji Gminnego Programu Profilaktyki i Rozwiązywania Problemów Alkoholowych, Przeciwdziałania Narkomanii, Przeciwdziałania Przemocy w Rodzinie oraz Ochrony Ofiar Przemocy w Rodzinie.</w:t>
      </w:r>
    </w:p>
    <w:p w14:paraId="048993EC" w14:textId="77777777" w:rsidR="00D86739" w:rsidRDefault="00D86739" w:rsidP="00D86739">
      <w:pPr>
        <w:pStyle w:val="NormalnyWeb"/>
        <w:spacing w:before="0" w:beforeAutospacing="0" w:after="0" w:afterAutospacing="0"/>
      </w:pPr>
      <w:r>
        <w:t>3. Przyjęcie protokołów z poprzednich posiedzeń.</w:t>
      </w:r>
    </w:p>
    <w:p w14:paraId="2CFC7092" w14:textId="77777777" w:rsidR="00D86739" w:rsidRDefault="00D86739" w:rsidP="00D86739">
      <w:pPr>
        <w:pStyle w:val="NormalnyWeb"/>
        <w:spacing w:before="0" w:beforeAutospacing="0" w:after="0" w:afterAutospacing="0"/>
      </w:pPr>
      <w:r>
        <w:t>4. Sprawy różne.</w:t>
      </w:r>
    </w:p>
    <w:p w14:paraId="69BDF752" w14:textId="77777777" w:rsidR="0098405B" w:rsidRDefault="00D86739" w:rsidP="0098405B">
      <w:pPr>
        <w:pStyle w:val="NormalnyWeb"/>
        <w:spacing w:before="0" w:beforeAutospacing="0" w:after="0" w:afterAutospacing="0"/>
      </w:pPr>
      <w:r>
        <w:t>5. Zakończenie posiedzenia.</w:t>
      </w:r>
      <w:r w:rsidR="004C2521">
        <w:br/>
      </w:r>
      <w:r w:rsidR="004C2521">
        <w:br/>
      </w:r>
      <w:r w:rsidR="004C2521">
        <w:br/>
      </w:r>
      <w:r w:rsidR="004C2521" w:rsidRPr="009521C2">
        <w:rPr>
          <w:b/>
          <w:bCs/>
        </w:rPr>
        <w:t xml:space="preserve">2. </w:t>
      </w:r>
      <w:bookmarkStart w:id="0" w:name="_Hlk98325201"/>
      <w:r w:rsidR="004C2521" w:rsidRPr="009521C2">
        <w:rPr>
          <w:b/>
          <w:bCs/>
        </w:rPr>
        <w:t xml:space="preserve">Kontrola wydatkowania środków finansowych </w:t>
      </w:r>
      <w:bookmarkEnd w:id="0"/>
      <w:r w:rsidR="004C2521" w:rsidRPr="009521C2">
        <w:rPr>
          <w:b/>
          <w:bCs/>
        </w:rPr>
        <w:t>w ramach realizacji Gminnego Programu Profilaktyki i Rozwiązywania Problemów Alkoholowych, Przeciwdziałania Narkomanii, Przeciwdziałania Przemocy w Rodzinie oraz Ochrony Ofiar Przemocy w Rodzinie.</w:t>
      </w:r>
      <w:r w:rsidR="004C2521" w:rsidRPr="009521C2">
        <w:rPr>
          <w:b/>
          <w:bCs/>
        </w:rPr>
        <w:br/>
      </w:r>
      <w:r w:rsidR="004C2521">
        <w:br/>
      </w:r>
      <w:r w:rsidR="00007A0F" w:rsidRPr="00007A0F">
        <w:t>Kierownik Ośrodka Pomocy Społecznej</w:t>
      </w:r>
      <w:r w:rsidR="00007A0F">
        <w:t xml:space="preserve"> </w:t>
      </w:r>
      <w:r w:rsidR="00007A0F" w:rsidRPr="00007A0F">
        <w:t>Anna Orłowska</w:t>
      </w:r>
      <w:r w:rsidR="00007A0F">
        <w:t xml:space="preserve"> przedstawiła k</w:t>
      </w:r>
      <w:r w:rsidR="00007A0F" w:rsidRPr="00007A0F">
        <w:t>ontrol</w:t>
      </w:r>
      <w:r w:rsidR="00007A0F">
        <w:t>ę</w:t>
      </w:r>
      <w:r w:rsidR="00007A0F" w:rsidRPr="00007A0F">
        <w:t xml:space="preserve"> wydatkowania środków finansowych</w:t>
      </w:r>
      <w:r w:rsidR="00007A0F">
        <w:t>, powiedziała, że materiały zostały</w:t>
      </w:r>
      <w:r w:rsidR="00B31C2D">
        <w:t xml:space="preserve"> pogrupowane zadaniami oraz</w:t>
      </w:r>
      <w:r w:rsidR="00007A0F">
        <w:t xml:space="preserve"> przesłane członkom Komisji </w:t>
      </w:r>
      <w:r w:rsidR="00B31C2D">
        <w:t>i</w:t>
      </w:r>
      <w:r w:rsidR="00007A0F">
        <w:t xml:space="preserve"> załączone do </w:t>
      </w:r>
      <w:r w:rsidR="00B31C2D">
        <w:t xml:space="preserve">omawianego punktu. </w:t>
      </w:r>
      <w:r w:rsidR="00F93529">
        <w:t>W jednym roku na program profilaktyki planowane środki</w:t>
      </w:r>
      <w:r w:rsidR="00020AF0">
        <w:t xml:space="preserve">, które to są środki pozyskiwane od sprzedawców, którzy </w:t>
      </w:r>
      <w:r w:rsidR="00B608A4">
        <w:t>w</w:t>
      </w:r>
      <w:r w:rsidR="00020AF0">
        <w:t>noszą opłaty za handel alkoholem</w:t>
      </w:r>
      <w:r w:rsidR="00B608A4">
        <w:t xml:space="preserve"> i w planie jest kwota </w:t>
      </w:r>
      <w:r w:rsidR="00B608A4" w:rsidRPr="00B608A4">
        <w:t>629 275,71</w:t>
      </w:r>
      <w:r w:rsidR="00B608A4">
        <w:t xml:space="preserve"> zł, wykonan</w:t>
      </w:r>
      <w:r w:rsidR="00BC4A56">
        <w:t>ie</w:t>
      </w:r>
      <w:r w:rsidR="00B608A4">
        <w:t xml:space="preserve"> </w:t>
      </w:r>
      <w:r w:rsidR="00BC4A56">
        <w:br/>
      </w:r>
      <w:r w:rsidR="00B608A4" w:rsidRPr="00B608A4">
        <w:lastRenderedPageBreak/>
        <w:t>477</w:t>
      </w:r>
      <w:r w:rsidR="00BC4A56">
        <w:t xml:space="preserve"> </w:t>
      </w:r>
      <w:r w:rsidR="00B608A4" w:rsidRPr="00B608A4">
        <w:t>366,06</w:t>
      </w:r>
      <w:r w:rsidR="00BC4A56">
        <w:t xml:space="preserve"> zł. jest to suma z dwóch lat, ponieważ pozostałe środki z 2020 roku zostały przeniesione na 2021. Z kolei w ubiegłym roku </w:t>
      </w:r>
      <w:r w:rsidR="0027688D">
        <w:t>został</w:t>
      </w:r>
      <w:r w:rsidR="00881FF4">
        <w:t>a</w:t>
      </w:r>
      <w:r w:rsidR="0027688D">
        <w:t xml:space="preserve"> wprowadzon</w:t>
      </w:r>
      <w:r w:rsidR="00881FF4">
        <w:t>a</w:t>
      </w:r>
      <w:r w:rsidR="0027688D">
        <w:t xml:space="preserve"> jeszcze </w:t>
      </w:r>
      <w:r w:rsidR="000725D0">
        <w:t>jed</w:t>
      </w:r>
      <w:r w:rsidR="0008075F">
        <w:t>na opłata</w:t>
      </w:r>
      <w:r w:rsidR="000725D0">
        <w:t xml:space="preserve"> dla </w:t>
      </w:r>
      <w:r w:rsidR="00170D3D">
        <w:t>przedsiębiorców,</w:t>
      </w:r>
      <w:r w:rsidR="000725D0">
        <w:t xml:space="preserve"> </w:t>
      </w:r>
      <w:r w:rsidR="0008075F">
        <w:t>którzy</w:t>
      </w:r>
      <w:r w:rsidR="00881FF4">
        <w:t xml:space="preserve"> </w:t>
      </w:r>
      <w:r w:rsidR="0008075F">
        <w:t>prowadzą sprzedaż</w:t>
      </w:r>
      <w:r w:rsidR="00881FF4">
        <w:t>y</w:t>
      </w:r>
      <w:r w:rsidR="0008075F">
        <w:t xml:space="preserve"> alkoholu od tak zwanych „małpek” w związku z czym to też jeszcze zwiększyło budżet </w:t>
      </w:r>
      <w:r w:rsidR="00393047">
        <w:t>o ponad 50 000,00 zł</w:t>
      </w:r>
      <w:r w:rsidR="00476830">
        <w:t>. Wydatki wiązały się z działalnością</w:t>
      </w:r>
      <w:r w:rsidR="00EA69EF">
        <w:t>, pracą</w:t>
      </w:r>
      <w:r w:rsidR="00476830">
        <w:t xml:space="preserve"> komisji</w:t>
      </w:r>
      <w:r w:rsidR="00EA69EF">
        <w:t>, która miała określone zadania</w:t>
      </w:r>
      <w:r w:rsidR="00D202F2">
        <w:t xml:space="preserve"> p</w:t>
      </w:r>
      <w:r w:rsidR="005864A4">
        <w:t>rzede</w:t>
      </w:r>
      <w:r w:rsidR="000B78F5">
        <w:t xml:space="preserve"> </w:t>
      </w:r>
      <w:r w:rsidR="005864A4">
        <w:t>wszystkim komisja wydaje po</w:t>
      </w:r>
      <w:r w:rsidR="00D202F2">
        <w:t xml:space="preserve">stanowienia o usytuowanie tych punktów w sprzedaży alkoholu, wzywa osoby uzależnione od alkoholu, gdzie są te sprawy wnoszone do OPS. Występują z wnioskami do sądu </w:t>
      </w:r>
      <w:r w:rsidR="00C04CF8">
        <w:t xml:space="preserve">o zastosowanie obowiązku leczenia odwykowego. Kolejne zadanie – Zespół Świetlic środowiskowych mieści się w strukturze </w:t>
      </w:r>
      <w:r w:rsidR="007C0D19">
        <w:t>administracyjne OPS. Ta działalność jest również ściśle związana z uczestnictwem dzieci. Dwie świetlice działają na terenie szkoły, czyli w Jadwisinie i Woli Kiełpińskiej w związku z tym, że</w:t>
      </w:r>
      <w:r w:rsidR="003C1469">
        <w:t xml:space="preserve"> był bardzo długi czas bez zajęć szkolnych więc ta działalność została nieco ograniczona</w:t>
      </w:r>
      <w:r w:rsidR="00023AF1">
        <w:t xml:space="preserve">. W świetlicy środowiskowej w Jadwisinie pracowali do końca I półrocza, czyli do 30 czerwca </w:t>
      </w:r>
      <w:r w:rsidR="005C7721">
        <w:t xml:space="preserve">i obecnie już nie jest to kontynuowane jako świetlica środowiskowa w Jadwisinie. Konsekwencją tego jest </w:t>
      </w:r>
      <w:r w:rsidR="007D5F15">
        <w:t>fakt,</w:t>
      </w:r>
      <w:r w:rsidR="005C7721">
        <w:t xml:space="preserve"> że nie ma ona tam już racji bytu i w Jadwisinie ta sytuacja jest już zmieniona </w:t>
      </w:r>
      <w:r w:rsidR="007D5F15">
        <w:t xml:space="preserve">niż 20 lat temu, kiedy zaczynali z ta świetlicą. Środowisko jakby też jest w tej chwili inne i Pani Dyrektor </w:t>
      </w:r>
      <w:r w:rsidR="00124927">
        <w:t>uznała,</w:t>
      </w:r>
      <w:r w:rsidR="007D5F15">
        <w:t xml:space="preserve"> że będzie lepszą </w:t>
      </w:r>
      <w:r w:rsidR="00124927">
        <w:t>sytuacją,</w:t>
      </w:r>
      <w:r w:rsidR="007D5F15">
        <w:t xml:space="preserve"> że w ramach własnych środków, własnych kompetencji będzie w stanie zapewnić tą pomoc </w:t>
      </w:r>
      <w:r w:rsidR="00C0620F">
        <w:t>i opiekę nad dziećmi, także było wszystko przemyślane z dyrekcją szkoły z Jadwisina</w:t>
      </w:r>
      <w:r w:rsidR="00124927">
        <w:t xml:space="preserve">. Obecnie są dwie świetlice tj. Wierzbica, gdzie ten standard ostatnio się bardzo podniósł </w:t>
      </w:r>
      <w:r w:rsidR="006D4D0B">
        <w:t xml:space="preserve">poprzez </w:t>
      </w:r>
      <w:r w:rsidR="007B5297">
        <w:t xml:space="preserve">remonty, boisko, plac zabaw. Po mimo trudności świetlica działa, dzieci do niej uczęszczają. </w:t>
      </w:r>
      <w:r w:rsidR="00F715E9">
        <w:t xml:space="preserve">Świetlica w Woli Kiełpińskiej również jest na terenie szkoły więc działa w zależności od tego czy dzieci są w szkole. </w:t>
      </w:r>
      <w:r w:rsidR="003D5EE5">
        <w:t>Kolejnymi zadaniami są punkty konsultacyjne. Te punkty są i działają bez ograniczeń</w:t>
      </w:r>
      <w:r w:rsidR="002F10F2">
        <w:t xml:space="preserve">. </w:t>
      </w:r>
      <w:r w:rsidR="0098405B">
        <w:t>W Punkcie Konsultacyjnym były świadczone porady i terapia dla osób uzależnionych i ich rodzin 2 razy w tygodniu po 15 godzin tygodniowo.</w:t>
      </w:r>
    </w:p>
    <w:p w14:paraId="37C5F9AE" w14:textId="77777777" w:rsidR="0098405B" w:rsidRDefault="0098405B" w:rsidP="0098405B">
      <w:pPr>
        <w:pStyle w:val="NormalnyWeb"/>
        <w:spacing w:before="0" w:beforeAutospacing="0" w:after="0" w:afterAutospacing="0"/>
      </w:pPr>
      <w:r>
        <w:t>Zakres usług świadczonych w Punkcie Konsultacyjnym:</w:t>
      </w:r>
    </w:p>
    <w:p w14:paraId="41084979" w14:textId="715F7A1A" w:rsidR="0098405B" w:rsidRDefault="0098405B" w:rsidP="0098405B">
      <w:pPr>
        <w:pStyle w:val="NormalnyWeb"/>
        <w:spacing w:before="0" w:beforeAutospacing="0" w:after="0" w:afterAutospacing="0"/>
      </w:pPr>
      <w:r>
        <w:t>1) dostarczanie rzetelnej wiedzy o chorobie alkoholowej i jej wpływu na życie całej rodziny;</w:t>
      </w:r>
    </w:p>
    <w:p w14:paraId="75F788CF" w14:textId="76DC18C6" w:rsidR="0098405B" w:rsidRDefault="0098405B" w:rsidP="0098405B">
      <w:pPr>
        <w:pStyle w:val="NormalnyWeb"/>
        <w:spacing w:before="0" w:beforeAutospacing="0" w:after="0" w:afterAutospacing="0"/>
      </w:pPr>
      <w:r>
        <w:t>2) ukazywanie możliwości leczenia w profesjonalnych placówkach lecznictwa odwykowego;</w:t>
      </w:r>
    </w:p>
    <w:p w14:paraId="344875F2" w14:textId="74AF6255" w:rsidR="0098405B" w:rsidRDefault="0098405B" w:rsidP="0098405B">
      <w:pPr>
        <w:pStyle w:val="NormalnyWeb"/>
        <w:spacing w:before="0" w:beforeAutospacing="0" w:after="0" w:afterAutospacing="0"/>
      </w:pPr>
      <w:r>
        <w:t>3) przybliżanie programów wspólnot AA, Al.-Anon, Al.-Aten;</w:t>
      </w:r>
    </w:p>
    <w:p w14:paraId="5AE18B6C" w14:textId="075C4135" w:rsidR="0098405B" w:rsidRDefault="0098405B" w:rsidP="0098405B">
      <w:pPr>
        <w:pStyle w:val="NormalnyWeb"/>
        <w:spacing w:before="0" w:beforeAutospacing="0" w:after="0" w:afterAutospacing="0"/>
      </w:pPr>
      <w:r>
        <w:t>4) omawianie i analizowanie problemów związanych z nadużywaniem alkoholu pojawiających się w codziennym życiu rodziny i osoby uzależnionej;</w:t>
      </w:r>
    </w:p>
    <w:p w14:paraId="19AE8527" w14:textId="793E3823" w:rsidR="0098405B" w:rsidRDefault="0098405B" w:rsidP="0098405B">
      <w:pPr>
        <w:pStyle w:val="NormalnyWeb"/>
        <w:spacing w:before="0" w:beforeAutospacing="0" w:after="0" w:afterAutospacing="0"/>
      </w:pPr>
      <w:r>
        <w:t>5) prezentacje i omawianie filmów o tematyce uzależnień od alkoholu;</w:t>
      </w:r>
    </w:p>
    <w:p w14:paraId="5736F79E" w14:textId="62FC8528" w:rsidR="0098405B" w:rsidRDefault="0098405B" w:rsidP="0098405B">
      <w:pPr>
        <w:pStyle w:val="NormalnyWeb"/>
        <w:spacing w:before="0" w:beforeAutospacing="0" w:after="0" w:afterAutospacing="0"/>
      </w:pPr>
      <w:r>
        <w:t>6) dostarczanie i umacnianie motywacji do leczenia i wytrwania w abstynencji;</w:t>
      </w:r>
    </w:p>
    <w:p w14:paraId="72C6490E" w14:textId="0C8D45D9" w:rsidR="0098405B" w:rsidRDefault="0098405B" w:rsidP="0098405B">
      <w:pPr>
        <w:pStyle w:val="NormalnyWeb"/>
        <w:spacing w:before="0" w:beforeAutospacing="0" w:after="0" w:afterAutospacing="0"/>
      </w:pPr>
      <w:r>
        <w:t>7) diagnoza, poradnictwo i elementy terapii dla osób uzależnionych od alkoholu;</w:t>
      </w:r>
    </w:p>
    <w:p w14:paraId="62D20F52" w14:textId="7F6877E6" w:rsidR="00E113A6" w:rsidRDefault="0098405B" w:rsidP="0098405B">
      <w:pPr>
        <w:pStyle w:val="NormalnyWeb"/>
        <w:spacing w:before="0" w:beforeAutospacing="0" w:after="0" w:afterAutospacing="0"/>
      </w:pPr>
      <w:r>
        <w:t>8) diagnoza wstępna dla osób uzależnionych od substancji psychoaktywnych i kierowania ich do placówek leczenia uzależnień.</w:t>
      </w:r>
      <w:r w:rsidR="00575BC9">
        <w:t xml:space="preserve"> </w:t>
      </w:r>
      <w:r w:rsidR="00575BC9" w:rsidRPr="00575BC9">
        <w:t>W Punkcie Konsultacyjnym udzielonych zostało 935 porad.</w:t>
      </w:r>
    </w:p>
    <w:p w14:paraId="59196C44" w14:textId="77777777" w:rsidR="00575BC9" w:rsidRDefault="00575BC9" w:rsidP="00575BC9">
      <w:pPr>
        <w:pStyle w:val="NormalnyWeb"/>
        <w:spacing w:before="0" w:beforeAutospacing="0" w:after="0" w:afterAutospacing="0"/>
      </w:pPr>
      <w:r>
        <w:t>W Punkcie Konsultacyjnym dla Osób Krzywdzonych w Rodzinie świadczone były porady:</w:t>
      </w:r>
    </w:p>
    <w:p w14:paraId="3F5B57ED" w14:textId="101139A7" w:rsidR="00575BC9" w:rsidRDefault="00575BC9" w:rsidP="00575BC9">
      <w:pPr>
        <w:pStyle w:val="NormalnyWeb"/>
        <w:spacing w:before="0" w:beforeAutospacing="0" w:after="0" w:afterAutospacing="0"/>
      </w:pPr>
      <w:r>
        <w:t>1) prawne - w siedzibie Ośrodka Pomocy Społecznej w Serocku ul. Kościuszki 15</w:t>
      </w:r>
    </w:p>
    <w:p w14:paraId="2E48F62A" w14:textId="5630253B" w:rsidR="00575BC9" w:rsidRDefault="00575BC9" w:rsidP="00575BC9">
      <w:pPr>
        <w:pStyle w:val="NormalnyWeb"/>
        <w:spacing w:before="0" w:beforeAutospacing="0" w:after="0" w:afterAutospacing="0"/>
      </w:pPr>
      <w:r>
        <w:t>1raz w tygodniu po 3 godziny.</w:t>
      </w:r>
    </w:p>
    <w:p w14:paraId="401885A5" w14:textId="77777777" w:rsidR="00575BC9" w:rsidRDefault="00575BC9" w:rsidP="00575BC9">
      <w:pPr>
        <w:pStyle w:val="NormalnyWeb"/>
        <w:spacing w:before="0" w:beforeAutospacing="0" w:after="0" w:afterAutospacing="0"/>
      </w:pPr>
      <w:r>
        <w:t>Liczba udzielonych porad- 87</w:t>
      </w:r>
    </w:p>
    <w:p w14:paraId="07CBE35C" w14:textId="6E1CC031" w:rsidR="00575BC9" w:rsidRDefault="00575BC9" w:rsidP="00575BC9">
      <w:pPr>
        <w:pStyle w:val="NormalnyWeb"/>
        <w:spacing w:before="0" w:beforeAutospacing="0" w:after="0" w:afterAutospacing="0"/>
      </w:pPr>
      <w:r>
        <w:t>2) psychologiczne - w Klubie Aktywności Społecznej w Serocku ul. Kościuszki 8A.</w:t>
      </w:r>
    </w:p>
    <w:p w14:paraId="33DE00C9" w14:textId="77777777" w:rsidR="00575BC9" w:rsidRDefault="00575BC9" w:rsidP="00575BC9">
      <w:pPr>
        <w:pStyle w:val="NormalnyWeb"/>
        <w:spacing w:before="0" w:beforeAutospacing="0" w:after="0" w:afterAutospacing="0"/>
      </w:pPr>
      <w:r>
        <w:t>2 razy w miesiącu po 3 godziny dziennie.</w:t>
      </w:r>
    </w:p>
    <w:p w14:paraId="0D5F45C6" w14:textId="66D0F9FB" w:rsidR="00E113A6" w:rsidRDefault="00575BC9" w:rsidP="00575BC9">
      <w:pPr>
        <w:pStyle w:val="NormalnyWeb"/>
        <w:spacing w:before="0" w:beforeAutospacing="0" w:after="0" w:afterAutospacing="0"/>
      </w:pPr>
      <w:r>
        <w:t>Liczba udzielonych porad - 38.</w:t>
      </w:r>
    </w:p>
    <w:p w14:paraId="789A50C3" w14:textId="77777777" w:rsidR="00C33595" w:rsidRDefault="00374845" w:rsidP="00C33595">
      <w:pPr>
        <w:pStyle w:val="Podpistabeli0"/>
        <w:rPr>
          <w:rFonts w:ascii="Times New Roman" w:hAnsi="Times New Roman" w:cs="Times New Roman"/>
          <w:color w:val="000000"/>
          <w:sz w:val="24"/>
          <w:szCs w:val="24"/>
          <w:lang w:bidi="pl-PL"/>
        </w:rPr>
      </w:pPr>
      <w:r w:rsidRPr="00C33595">
        <w:rPr>
          <w:rFonts w:ascii="Times New Roman" w:hAnsi="Times New Roman" w:cs="Times New Roman"/>
          <w:sz w:val="24"/>
          <w:szCs w:val="24"/>
        </w:rPr>
        <w:t>W innych wydatkach zostało sfinansowane pobytu 3 osób w Ogólnopolskim Spotkaniu Trzeźwościowym w Zakroczymiu; opłacono za opinie biegłych sądowych w postępowaniach o zastosowanie obowiązku leczenia odwykowego; koszty transportu na przedstawienie teatralne w Warszawie.</w:t>
      </w:r>
      <w:r w:rsidR="00A71C99" w:rsidRPr="00C33595">
        <w:rPr>
          <w:rFonts w:ascii="Times New Roman" w:hAnsi="Times New Roman" w:cs="Times New Roman"/>
          <w:sz w:val="24"/>
          <w:szCs w:val="24"/>
        </w:rPr>
        <w:t xml:space="preserve"> Przez sytuację panującą w Państwie niestety ograniczone były możliwości organizacji </w:t>
      </w:r>
      <w:r w:rsidR="00DA722B" w:rsidRPr="00C33595">
        <w:rPr>
          <w:rFonts w:ascii="Times New Roman" w:hAnsi="Times New Roman" w:cs="Times New Roman"/>
          <w:sz w:val="24"/>
          <w:szCs w:val="24"/>
        </w:rPr>
        <w:t xml:space="preserve">programów profilaktycznych. </w:t>
      </w:r>
      <w:r w:rsidR="00C33595" w:rsidRPr="00C33595">
        <w:rPr>
          <w:rFonts w:ascii="Times New Roman" w:hAnsi="Times New Roman" w:cs="Times New Roman"/>
          <w:color w:val="000000"/>
          <w:sz w:val="24"/>
          <w:szCs w:val="24"/>
          <w:lang w:bidi="pl-PL"/>
        </w:rPr>
        <w:t xml:space="preserve">W szkołach odbyły się </w:t>
      </w:r>
      <w:proofErr w:type="spellStart"/>
      <w:r w:rsidR="00C33595" w:rsidRPr="00C33595">
        <w:rPr>
          <w:rFonts w:ascii="Times New Roman" w:hAnsi="Times New Roman" w:cs="Times New Roman"/>
          <w:color w:val="000000"/>
          <w:sz w:val="24"/>
          <w:szCs w:val="24"/>
          <w:lang w:bidi="pl-PL"/>
        </w:rPr>
        <w:t>n.w</w:t>
      </w:r>
      <w:proofErr w:type="spellEnd"/>
      <w:r w:rsidR="00C33595" w:rsidRPr="00C33595">
        <w:rPr>
          <w:rFonts w:ascii="Times New Roman" w:hAnsi="Times New Roman" w:cs="Times New Roman"/>
          <w:color w:val="000000"/>
          <w:sz w:val="24"/>
          <w:szCs w:val="24"/>
          <w:lang w:bidi="pl-PL"/>
        </w:rPr>
        <w:t>. programy, spektakle i warsztaty profilaktyczne:</w:t>
      </w:r>
    </w:p>
    <w:p w14:paraId="3CBA2373" w14:textId="77777777" w:rsidR="00C33595" w:rsidRDefault="00C33595" w:rsidP="00C33595">
      <w:pPr>
        <w:pStyle w:val="Podpistabeli0"/>
        <w:rPr>
          <w:rFonts w:ascii="Times New Roman" w:hAnsi="Times New Roman" w:cs="Times New Roman"/>
          <w:color w:val="000000"/>
          <w:sz w:val="24"/>
          <w:szCs w:val="24"/>
          <w:lang w:bidi="pl-PL"/>
        </w:rPr>
      </w:pPr>
    </w:p>
    <w:p w14:paraId="4BEEB637" w14:textId="77777777" w:rsidR="00C33595" w:rsidRPr="00C33595" w:rsidRDefault="00C33595" w:rsidP="00C33595">
      <w:pPr>
        <w:pStyle w:val="Podpistabeli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15"/>
        <w:gridCol w:w="2837"/>
        <w:gridCol w:w="1565"/>
      </w:tblGrid>
      <w:tr w:rsidR="00C33595" w:rsidRPr="00C33595" w14:paraId="42B12915" w14:textId="77777777" w:rsidTr="00234F17">
        <w:tblPrEx>
          <w:tblCellMar>
            <w:top w:w="0" w:type="dxa"/>
            <w:bottom w:w="0" w:type="dxa"/>
          </w:tblCellMar>
        </w:tblPrEx>
        <w:trPr>
          <w:trHeight w:hRule="exact" w:val="283"/>
          <w:jc w:val="center"/>
        </w:trPr>
        <w:tc>
          <w:tcPr>
            <w:tcW w:w="4315" w:type="dxa"/>
            <w:tcBorders>
              <w:top w:val="single" w:sz="4" w:space="0" w:color="auto"/>
              <w:left w:val="single" w:sz="4" w:space="0" w:color="auto"/>
            </w:tcBorders>
            <w:shd w:val="clear" w:color="auto" w:fill="auto"/>
            <w:vAlign w:val="bottom"/>
          </w:tcPr>
          <w:p w14:paraId="53194871"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lastRenderedPageBreak/>
              <w:t>Nazwa programu</w:t>
            </w:r>
          </w:p>
        </w:tc>
        <w:tc>
          <w:tcPr>
            <w:tcW w:w="2837" w:type="dxa"/>
            <w:tcBorders>
              <w:top w:val="single" w:sz="4" w:space="0" w:color="auto"/>
              <w:left w:val="single" w:sz="4" w:space="0" w:color="auto"/>
            </w:tcBorders>
            <w:shd w:val="clear" w:color="auto" w:fill="auto"/>
            <w:vAlign w:val="bottom"/>
          </w:tcPr>
          <w:p w14:paraId="0BFCFDC8"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Szkoła</w:t>
            </w:r>
          </w:p>
        </w:tc>
        <w:tc>
          <w:tcPr>
            <w:tcW w:w="1565" w:type="dxa"/>
            <w:tcBorders>
              <w:top w:val="single" w:sz="4" w:space="0" w:color="auto"/>
              <w:left w:val="single" w:sz="4" w:space="0" w:color="auto"/>
              <w:right w:val="single" w:sz="4" w:space="0" w:color="auto"/>
            </w:tcBorders>
            <w:shd w:val="clear" w:color="auto" w:fill="auto"/>
            <w:vAlign w:val="bottom"/>
          </w:tcPr>
          <w:p w14:paraId="03A09643"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Cena</w:t>
            </w:r>
          </w:p>
        </w:tc>
      </w:tr>
      <w:tr w:rsidR="00C33595" w:rsidRPr="00C33595" w14:paraId="63A4E913" w14:textId="77777777" w:rsidTr="00234F17">
        <w:tblPrEx>
          <w:tblCellMar>
            <w:top w:w="0" w:type="dxa"/>
            <w:bottom w:w="0" w:type="dxa"/>
          </w:tblCellMar>
        </w:tblPrEx>
        <w:trPr>
          <w:trHeight w:hRule="exact" w:val="547"/>
          <w:jc w:val="center"/>
        </w:trPr>
        <w:tc>
          <w:tcPr>
            <w:tcW w:w="4315" w:type="dxa"/>
            <w:tcBorders>
              <w:top w:val="single" w:sz="4" w:space="0" w:color="auto"/>
              <w:left w:val="single" w:sz="4" w:space="0" w:color="auto"/>
            </w:tcBorders>
            <w:shd w:val="clear" w:color="auto" w:fill="auto"/>
            <w:vAlign w:val="bottom"/>
          </w:tcPr>
          <w:p w14:paraId="2181F2EE"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Nie zmarnuj swojego talentu (kl. I-V) Nie zmarnuj swojego życia (kl. VI-VII)</w:t>
            </w:r>
          </w:p>
        </w:tc>
        <w:tc>
          <w:tcPr>
            <w:tcW w:w="2837" w:type="dxa"/>
            <w:tcBorders>
              <w:top w:val="single" w:sz="4" w:space="0" w:color="auto"/>
              <w:left w:val="single" w:sz="4" w:space="0" w:color="auto"/>
            </w:tcBorders>
            <w:shd w:val="clear" w:color="auto" w:fill="auto"/>
          </w:tcPr>
          <w:p w14:paraId="1151684F"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Podstawowa w Serocku</w:t>
            </w:r>
          </w:p>
        </w:tc>
        <w:tc>
          <w:tcPr>
            <w:tcW w:w="1565" w:type="dxa"/>
            <w:tcBorders>
              <w:top w:val="single" w:sz="4" w:space="0" w:color="auto"/>
              <w:left w:val="single" w:sz="4" w:space="0" w:color="auto"/>
              <w:right w:val="single" w:sz="4" w:space="0" w:color="auto"/>
            </w:tcBorders>
            <w:shd w:val="clear" w:color="auto" w:fill="auto"/>
          </w:tcPr>
          <w:p w14:paraId="7B1B5BFD" w14:textId="77777777" w:rsidR="00C33595" w:rsidRPr="00C33595" w:rsidRDefault="00C33595" w:rsidP="00234F17">
            <w:pPr>
              <w:pStyle w:val="Inne0"/>
              <w:spacing w:after="0" w:line="240" w:lineRule="auto"/>
              <w:ind w:firstLine="380"/>
              <w:rPr>
                <w:rFonts w:ascii="Times New Roman" w:hAnsi="Times New Roman" w:cs="Times New Roman"/>
                <w:sz w:val="24"/>
                <w:szCs w:val="24"/>
              </w:rPr>
            </w:pPr>
            <w:r w:rsidRPr="00C33595">
              <w:rPr>
                <w:rFonts w:ascii="Times New Roman" w:hAnsi="Times New Roman" w:cs="Times New Roman"/>
                <w:color w:val="000000"/>
                <w:sz w:val="24"/>
                <w:szCs w:val="24"/>
                <w:lang w:bidi="pl-PL"/>
              </w:rPr>
              <w:t>5 500,00</w:t>
            </w:r>
          </w:p>
        </w:tc>
      </w:tr>
      <w:tr w:rsidR="00C33595" w:rsidRPr="00C33595" w14:paraId="73E2CA3D" w14:textId="77777777" w:rsidTr="00234F17">
        <w:tblPrEx>
          <w:tblCellMar>
            <w:top w:w="0" w:type="dxa"/>
            <w:bottom w:w="0" w:type="dxa"/>
          </w:tblCellMar>
        </w:tblPrEx>
        <w:trPr>
          <w:trHeight w:hRule="exact" w:val="547"/>
          <w:jc w:val="center"/>
        </w:trPr>
        <w:tc>
          <w:tcPr>
            <w:tcW w:w="4315" w:type="dxa"/>
            <w:tcBorders>
              <w:top w:val="single" w:sz="4" w:space="0" w:color="auto"/>
              <w:left w:val="single" w:sz="4" w:space="0" w:color="auto"/>
            </w:tcBorders>
            <w:shd w:val="clear" w:color="auto" w:fill="auto"/>
            <w:vAlign w:val="bottom"/>
          </w:tcPr>
          <w:p w14:paraId="488E7AF5"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Nie daj się uzależnieniom</w:t>
            </w:r>
          </w:p>
          <w:p w14:paraId="1D0FE8EA"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Dopalacze-zażyjesz przepadniesz</w:t>
            </w:r>
          </w:p>
        </w:tc>
        <w:tc>
          <w:tcPr>
            <w:tcW w:w="2837" w:type="dxa"/>
            <w:tcBorders>
              <w:top w:val="single" w:sz="4" w:space="0" w:color="auto"/>
              <w:left w:val="single" w:sz="4" w:space="0" w:color="auto"/>
            </w:tcBorders>
            <w:shd w:val="clear" w:color="auto" w:fill="auto"/>
            <w:vAlign w:val="bottom"/>
          </w:tcPr>
          <w:p w14:paraId="06671FAB"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Podstawowa w Woli Kiełpińskiej</w:t>
            </w:r>
          </w:p>
        </w:tc>
        <w:tc>
          <w:tcPr>
            <w:tcW w:w="1565" w:type="dxa"/>
            <w:tcBorders>
              <w:top w:val="single" w:sz="4" w:space="0" w:color="auto"/>
              <w:left w:val="single" w:sz="4" w:space="0" w:color="auto"/>
              <w:right w:val="single" w:sz="4" w:space="0" w:color="auto"/>
            </w:tcBorders>
            <w:shd w:val="clear" w:color="auto" w:fill="auto"/>
          </w:tcPr>
          <w:p w14:paraId="3D36A19D" w14:textId="77777777" w:rsidR="00C33595" w:rsidRPr="00C33595" w:rsidRDefault="00C33595" w:rsidP="00234F17">
            <w:pPr>
              <w:pStyle w:val="Inne0"/>
              <w:spacing w:after="0" w:line="240" w:lineRule="auto"/>
              <w:ind w:firstLine="380"/>
              <w:rPr>
                <w:rFonts w:ascii="Times New Roman" w:hAnsi="Times New Roman" w:cs="Times New Roman"/>
                <w:sz w:val="24"/>
                <w:szCs w:val="24"/>
              </w:rPr>
            </w:pPr>
            <w:r w:rsidRPr="00C33595">
              <w:rPr>
                <w:rFonts w:ascii="Times New Roman" w:hAnsi="Times New Roman" w:cs="Times New Roman"/>
                <w:color w:val="000000"/>
                <w:sz w:val="24"/>
                <w:szCs w:val="24"/>
                <w:lang w:bidi="pl-PL"/>
              </w:rPr>
              <w:t>2 800,00</w:t>
            </w:r>
          </w:p>
        </w:tc>
      </w:tr>
      <w:tr w:rsidR="00C33595" w:rsidRPr="00C33595" w14:paraId="56EB63E4" w14:textId="77777777" w:rsidTr="00234F17">
        <w:tblPrEx>
          <w:tblCellMar>
            <w:top w:w="0" w:type="dxa"/>
            <w:bottom w:w="0" w:type="dxa"/>
          </w:tblCellMar>
        </w:tblPrEx>
        <w:trPr>
          <w:trHeight w:hRule="exact" w:val="816"/>
          <w:jc w:val="center"/>
        </w:trPr>
        <w:tc>
          <w:tcPr>
            <w:tcW w:w="4315" w:type="dxa"/>
            <w:tcBorders>
              <w:top w:val="single" w:sz="4" w:space="0" w:color="auto"/>
              <w:left w:val="single" w:sz="4" w:space="0" w:color="auto"/>
            </w:tcBorders>
            <w:shd w:val="clear" w:color="auto" w:fill="auto"/>
          </w:tcPr>
          <w:p w14:paraId="5E758DEE"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Wszechmocni w sieci</w:t>
            </w:r>
          </w:p>
          <w:p w14:paraId="5ED2C265"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Dopalacze, siedem stopni donikąd</w:t>
            </w:r>
          </w:p>
        </w:tc>
        <w:tc>
          <w:tcPr>
            <w:tcW w:w="2837" w:type="dxa"/>
            <w:tcBorders>
              <w:top w:val="single" w:sz="4" w:space="0" w:color="auto"/>
              <w:left w:val="single" w:sz="4" w:space="0" w:color="auto"/>
            </w:tcBorders>
            <w:shd w:val="clear" w:color="auto" w:fill="auto"/>
            <w:vAlign w:val="bottom"/>
          </w:tcPr>
          <w:p w14:paraId="56787BD9"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Podstawowa w Jadwisinie (wyjazd do Teatru Kamienica w Warszawie)</w:t>
            </w:r>
          </w:p>
        </w:tc>
        <w:tc>
          <w:tcPr>
            <w:tcW w:w="1565" w:type="dxa"/>
            <w:tcBorders>
              <w:top w:val="single" w:sz="4" w:space="0" w:color="auto"/>
              <w:left w:val="single" w:sz="4" w:space="0" w:color="auto"/>
              <w:right w:val="single" w:sz="4" w:space="0" w:color="auto"/>
            </w:tcBorders>
            <w:shd w:val="clear" w:color="auto" w:fill="auto"/>
          </w:tcPr>
          <w:p w14:paraId="673427E5" w14:textId="77777777" w:rsidR="00C33595" w:rsidRPr="00C33595" w:rsidRDefault="00C33595" w:rsidP="00234F17">
            <w:pPr>
              <w:pStyle w:val="Inne0"/>
              <w:spacing w:after="0" w:line="240" w:lineRule="auto"/>
              <w:ind w:firstLine="380"/>
              <w:rPr>
                <w:rFonts w:ascii="Times New Roman" w:hAnsi="Times New Roman" w:cs="Times New Roman"/>
                <w:sz w:val="24"/>
                <w:szCs w:val="24"/>
              </w:rPr>
            </w:pPr>
            <w:r w:rsidRPr="00C33595">
              <w:rPr>
                <w:rFonts w:ascii="Times New Roman" w:hAnsi="Times New Roman" w:cs="Times New Roman"/>
                <w:color w:val="000000"/>
                <w:sz w:val="24"/>
                <w:szCs w:val="24"/>
                <w:lang w:bidi="pl-PL"/>
              </w:rPr>
              <w:t>4 350,00</w:t>
            </w:r>
          </w:p>
        </w:tc>
      </w:tr>
      <w:tr w:rsidR="00C33595" w:rsidRPr="00C33595" w14:paraId="0EBA1F46" w14:textId="77777777" w:rsidTr="00234F17">
        <w:tblPrEx>
          <w:tblCellMar>
            <w:top w:w="0" w:type="dxa"/>
            <w:bottom w:w="0" w:type="dxa"/>
          </w:tblCellMar>
        </w:tblPrEx>
        <w:trPr>
          <w:trHeight w:hRule="exact" w:val="288"/>
          <w:jc w:val="center"/>
        </w:trPr>
        <w:tc>
          <w:tcPr>
            <w:tcW w:w="7152" w:type="dxa"/>
            <w:gridSpan w:val="2"/>
            <w:tcBorders>
              <w:top w:val="single" w:sz="4" w:space="0" w:color="auto"/>
              <w:left w:val="single" w:sz="4" w:space="0" w:color="auto"/>
              <w:bottom w:val="single" w:sz="4" w:space="0" w:color="auto"/>
            </w:tcBorders>
            <w:shd w:val="clear" w:color="auto" w:fill="auto"/>
            <w:vAlign w:val="bottom"/>
          </w:tcPr>
          <w:p w14:paraId="1F640AA8"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RAZEM</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14:paraId="5BF986ED"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12 650,00</w:t>
            </w:r>
          </w:p>
        </w:tc>
      </w:tr>
    </w:tbl>
    <w:p w14:paraId="154E667F" w14:textId="77777777" w:rsidR="00C33595" w:rsidRPr="00C33595" w:rsidRDefault="00C33595" w:rsidP="00C33595">
      <w:pPr>
        <w:spacing w:after="439" w:line="1" w:lineRule="exact"/>
      </w:pPr>
    </w:p>
    <w:p w14:paraId="7BBED419" w14:textId="77777777" w:rsidR="00C33595" w:rsidRPr="00C33595" w:rsidRDefault="00C33595" w:rsidP="00C33595">
      <w:pPr>
        <w:pStyle w:val="Nagwek10"/>
        <w:keepNext/>
        <w:keepLines/>
        <w:numPr>
          <w:ilvl w:val="0"/>
          <w:numId w:val="1"/>
        </w:numPr>
        <w:tabs>
          <w:tab w:val="left" w:pos="1053"/>
          <w:tab w:val="left" w:pos="1085"/>
        </w:tabs>
        <w:ind w:firstLine="360"/>
        <w:rPr>
          <w:rFonts w:ascii="Times New Roman" w:hAnsi="Times New Roman" w:cs="Times New Roman"/>
          <w:sz w:val="24"/>
          <w:szCs w:val="24"/>
        </w:rPr>
      </w:pPr>
      <w:bookmarkStart w:id="1" w:name="bookmark10"/>
      <w:r w:rsidRPr="00C33595">
        <w:rPr>
          <w:rFonts w:ascii="Times New Roman" w:hAnsi="Times New Roman" w:cs="Times New Roman"/>
          <w:color w:val="000000"/>
          <w:sz w:val="24"/>
          <w:szCs w:val="24"/>
          <w:lang w:bidi="pl-PL"/>
        </w:rPr>
        <w:t>Klub Aktywności Społecznej w Serocku</w:t>
      </w:r>
      <w:bookmarkEnd w:id="1"/>
    </w:p>
    <w:p w14:paraId="62DBCB99" w14:textId="77777777" w:rsidR="00C33595" w:rsidRPr="00C33595" w:rsidRDefault="00C33595" w:rsidP="00C33595">
      <w:pPr>
        <w:pStyle w:val="Teksttreci0"/>
        <w:rPr>
          <w:rFonts w:ascii="Times New Roman" w:hAnsi="Times New Roman" w:cs="Times New Roman"/>
          <w:sz w:val="24"/>
          <w:szCs w:val="24"/>
        </w:rPr>
      </w:pPr>
      <w:r w:rsidRPr="00C33595">
        <w:rPr>
          <w:rFonts w:ascii="Times New Roman" w:hAnsi="Times New Roman" w:cs="Times New Roman"/>
          <w:color w:val="000000"/>
          <w:sz w:val="24"/>
          <w:szCs w:val="24"/>
          <w:lang w:bidi="pl-PL"/>
        </w:rPr>
        <w:t>W Klubie Aktywności Społecznej w Serocku ul. Kościuszki 8A mieści się siedziba Punktu Konsultacyjnego ds. Uzależnień, prowadzone są porady psychologiczne oraz inne wydarzenia dla społeczności lokalnej.</w:t>
      </w:r>
    </w:p>
    <w:p w14:paraId="251EAAFD" w14:textId="77777777" w:rsidR="00C33595" w:rsidRPr="00C33595" w:rsidRDefault="00C33595" w:rsidP="00C33595">
      <w:pPr>
        <w:pStyle w:val="Teksttreci0"/>
        <w:rPr>
          <w:rFonts w:ascii="Times New Roman" w:hAnsi="Times New Roman" w:cs="Times New Roman"/>
          <w:sz w:val="24"/>
          <w:szCs w:val="24"/>
        </w:rPr>
      </w:pPr>
      <w:r w:rsidRPr="00C33595">
        <w:rPr>
          <w:rFonts w:ascii="Times New Roman" w:hAnsi="Times New Roman" w:cs="Times New Roman"/>
          <w:color w:val="000000"/>
          <w:sz w:val="24"/>
          <w:szCs w:val="24"/>
          <w:lang w:bidi="pl-PL"/>
        </w:rPr>
        <w:t xml:space="preserve">Wydatki poniesione na funkcjonowanie Klubu Aktywności Społecznej wyniosły </w:t>
      </w:r>
      <w:r w:rsidRPr="00C33595">
        <w:rPr>
          <w:rFonts w:ascii="Times New Roman" w:hAnsi="Times New Roman" w:cs="Times New Roman"/>
          <w:b/>
          <w:bCs/>
          <w:color w:val="000000"/>
          <w:sz w:val="24"/>
          <w:szCs w:val="24"/>
          <w:lang w:bidi="pl-PL"/>
        </w:rPr>
        <w:t xml:space="preserve">30 309,26 </w:t>
      </w:r>
      <w:r w:rsidRPr="00C33595">
        <w:rPr>
          <w:rFonts w:ascii="Times New Roman" w:hAnsi="Times New Roman" w:cs="Times New Roman"/>
          <w:color w:val="000000"/>
          <w:sz w:val="24"/>
          <w:szCs w:val="24"/>
          <w:lang w:bidi="pl-PL"/>
        </w:rPr>
        <w:t>zł, w tym:</w:t>
      </w:r>
    </w:p>
    <w:p w14:paraId="24926FCC" w14:textId="77777777" w:rsidR="00C33595" w:rsidRPr="00C33595" w:rsidRDefault="00C33595" w:rsidP="00C33595">
      <w:pPr>
        <w:pStyle w:val="Teksttreci0"/>
        <w:spacing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 zakup mebli, materiałów biurowych, drobnego sprzętu i środków czystości- 9 845,61</w:t>
      </w:r>
    </w:p>
    <w:p w14:paraId="20D7AE51" w14:textId="77777777" w:rsidR="00C33595" w:rsidRPr="00C33595" w:rsidRDefault="00C33595" w:rsidP="00C33595">
      <w:pPr>
        <w:pStyle w:val="Teksttreci0"/>
        <w:numPr>
          <w:ilvl w:val="0"/>
          <w:numId w:val="2"/>
        </w:numPr>
        <w:tabs>
          <w:tab w:val="left" w:pos="253"/>
        </w:tabs>
        <w:spacing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zakup energii - 8 081,73</w:t>
      </w:r>
    </w:p>
    <w:p w14:paraId="0D471EAA" w14:textId="77777777" w:rsidR="00C33595" w:rsidRPr="00C33595" w:rsidRDefault="00C33595" w:rsidP="00C33595">
      <w:pPr>
        <w:pStyle w:val="Teksttreci0"/>
        <w:numPr>
          <w:ilvl w:val="0"/>
          <w:numId w:val="2"/>
        </w:numPr>
        <w:tabs>
          <w:tab w:val="left" w:pos="253"/>
        </w:tabs>
        <w:spacing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opłata za internet - 752,64</w:t>
      </w:r>
    </w:p>
    <w:p w14:paraId="7C700CF0" w14:textId="77777777" w:rsidR="00C33595" w:rsidRPr="00C33595" w:rsidRDefault="00C33595" w:rsidP="00C33595">
      <w:pPr>
        <w:pStyle w:val="Teksttreci0"/>
        <w:numPr>
          <w:ilvl w:val="0"/>
          <w:numId w:val="2"/>
        </w:numPr>
        <w:tabs>
          <w:tab w:val="left" w:pos="253"/>
        </w:tabs>
        <w:spacing w:after="62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opłata za czynsz - 11 629,28 zł.</w:t>
      </w:r>
    </w:p>
    <w:p w14:paraId="71AD4154" w14:textId="77777777" w:rsidR="00C33595" w:rsidRPr="00C33595" w:rsidRDefault="00C33595" w:rsidP="00C33595">
      <w:pPr>
        <w:pStyle w:val="Nagwek10"/>
        <w:keepNext/>
        <w:keepLines/>
        <w:tabs>
          <w:tab w:val="left" w:pos="1081"/>
        </w:tabs>
        <w:spacing w:after="280"/>
        <w:rPr>
          <w:rFonts w:ascii="Times New Roman" w:hAnsi="Times New Roman" w:cs="Times New Roman"/>
          <w:sz w:val="24"/>
          <w:szCs w:val="24"/>
        </w:rPr>
      </w:pPr>
      <w:bookmarkStart w:id="2" w:name="bookmark12"/>
      <w:r w:rsidRPr="00C33595">
        <w:rPr>
          <w:rFonts w:ascii="Times New Roman" w:hAnsi="Times New Roman" w:cs="Times New Roman"/>
          <w:color w:val="000000"/>
          <w:sz w:val="24"/>
          <w:szCs w:val="24"/>
          <w:lang w:bidi="pl-PL"/>
        </w:rPr>
        <w:t>VII.</w:t>
      </w:r>
      <w:r w:rsidRPr="00C33595">
        <w:rPr>
          <w:rFonts w:ascii="Times New Roman" w:hAnsi="Times New Roman" w:cs="Times New Roman"/>
          <w:color w:val="000000"/>
          <w:sz w:val="24"/>
          <w:szCs w:val="24"/>
          <w:lang w:bidi="pl-PL"/>
        </w:rPr>
        <w:tab/>
        <w:t>Inne wydatki</w:t>
      </w:r>
      <w:bookmarkEnd w:id="2"/>
    </w:p>
    <w:p w14:paraId="1EB03452" w14:textId="77777777" w:rsidR="00C33595" w:rsidRPr="00C33595" w:rsidRDefault="00C33595" w:rsidP="00C33595">
      <w:pPr>
        <w:pStyle w:val="Teksttreci0"/>
        <w:numPr>
          <w:ilvl w:val="0"/>
          <w:numId w:val="3"/>
        </w:numPr>
        <w:tabs>
          <w:tab w:val="left" w:pos="730"/>
        </w:tabs>
        <w:spacing w:after="0"/>
        <w:ind w:left="740" w:hanging="360"/>
        <w:rPr>
          <w:rFonts w:ascii="Times New Roman" w:hAnsi="Times New Roman" w:cs="Times New Roman"/>
          <w:sz w:val="24"/>
          <w:szCs w:val="24"/>
        </w:rPr>
      </w:pPr>
      <w:r w:rsidRPr="00C33595">
        <w:rPr>
          <w:rFonts w:ascii="Times New Roman" w:hAnsi="Times New Roman" w:cs="Times New Roman"/>
          <w:color w:val="000000"/>
          <w:sz w:val="24"/>
          <w:szCs w:val="24"/>
          <w:lang w:bidi="pl-PL"/>
        </w:rPr>
        <w:t>sfinansowanie pobytu 3 osób w Ogólnopolskim Spotkaniu Trzeźwościowym w Zakroczymiu - 1 104,00 zł;</w:t>
      </w:r>
    </w:p>
    <w:p w14:paraId="68D3EA8E" w14:textId="77777777" w:rsidR="00C33595" w:rsidRPr="00C33595" w:rsidRDefault="00C33595" w:rsidP="00C33595">
      <w:pPr>
        <w:pStyle w:val="Teksttreci0"/>
        <w:numPr>
          <w:ilvl w:val="0"/>
          <w:numId w:val="3"/>
        </w:numPr>
        <w:tabs>
          <w:tab w:val="left" w:pos="734"/>
        </w:tabs>
        <w:spacing w:after="0"/>
        <w:ind w:left="740" w:hanging="360"/>
        <w:rPr>
          <w:rFonts w:ascii="Times New Roman" w:hAnsi="Times New Roman" w:cs="Times New Roman"/>
          <w:sz w:val="24"/>
          <w:szCs w:val="24"/>
        </w:rPr>
      </w:pPr>
      <w:r w:rsidRPr="00C33595">
        <w:rPr>
          <w:rFonts w:ascii="Times New Roman" w:hAnsi="Times New Roman" w:cs="Times New Roman"/>
          <w:color w:val="000000"/>
          <w:sz w:val="24"/>
          <w:szCs w:val="24"/>
          <w:lang w:bidi="pl-PL"/>
        </w:rPr>
        <w:t>opłata za opinie biegłych sądowych w postępowaniach o zastosowanie obowiązku leczenia odwykowego- 1 105,98</w:t>
      </w:r>
    </w:p>
    <w:p w14:paraId="24DA2F57" w14:textId="77777777" w:rsidR="00C33595" w:rsidRPr="00C33595" w:rsidRDefault="00C33595" w:rsidP="00C33595">
      <w:pPr>
        <w:pStyle w:val="Teksttreci0"/>
        <w:numPr>
          <w:ilvl w:val="0"/>
          <w:numId w:val="3"/>
        </w:numPr>
        <w:tabs>
          <w:tab w:val="left" w:pos="738"/>
        </w:tabs>
        <w:spacing w:after="280"/>
        <w:ind w:firstLine="380"/>
        <w:rPr>
          <w:rFonts w:ascii="Times New Roman" w:hAnsi="Times New Roman" w:cs="Times New Roman"/>
          <w:sz w:val="24"/>
          <w:szCs w:val="24"/>
        </w:rPr>
      </w:pPr>
      <w:r w:rsidRPr="00C33595">
        <w:rPr>
          <w:rFonts w:ascii="Times New Roman" w:hAnsi="Times New Roman" w:cs="Times New Roman"/>
          <w:color w:val="000000"/>
          <w:sz w:val="24"/>
          <w:szCs w:val="24"/>
          <w:lang w:bidi="pl-PL"/>
        </w:rPr>
        <w:t>koszt transportu na przedstawienie teatralne w Warszawie - 540,00 zł.</w:t>
      </w:r>
    </w:p>
    <w:p w14:paraId="6156E9B4" w14:textId="77777777" w:rsidR="00C33595" w:rsidRPr="00C33595" w:rsidRDefault="00C33595" w:rsidP="00C33595">
      <w:pPr>
        <w:pStyle w:val="Podpistabeli0"/>
        <w:ind w:left="331"/>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VIII. Budżet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3173"/>
        <w:gridCol w:w="2976"/>
        <w:gridCol w:w="1992"/>
      </w:tblGrid>
      <w:tr w:rsidR="00C33595" w:rsidRPr="00C33595" w14:paraId="376D6686" w14:textId="77777777" w:rsidTr="00234F17">
        <w:tblPrEx>
          <w:tblCellMar>
            <w:top w:w="0" w:type="dxa"/>
            <w:bottom w:w="0" w:type="dxa"/>
          </w:tblCellMar>
        </w:tblPrEx>
        <w:trPr>
          <w:trHeight w:hRule="exact" w:val="283"/>
          <w:jc w:val="center"/>
        </w:trPr>
        <w:tc>
          <w:tcPr>
            <w:tcW w:w="936" w:type="dxa"/>
            <w:tcBorders>
              <w:top w:val="single" w:sz="4" w:space="0" w:color="auto"/>
              <w:left w:val="single" w:sz="4" w:space="0" w:color="auto"/>
            </w:tcBorders>
            <w:shd w:val="clear" w:color="auto" w:fill="auto"/>
            <w:vAlign w:val="bottom"/>
          </w:tcPr>
          <w:p w14:paraId="5E509B12"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Rozdz.</w:t>
            </w:r>
          </w:p>
        </w:tc>
        <w:tc>
          <w:tcPr>
            <w:tcW w:w="3173" w:type="dxa"/>
            <w:tcBorders>
              <w:top w:val="single" w:sz="4" w:space="0" w:color="auto"/>
              <w:left w:val="single" w:sz="4" w:space="0" w:color="auto"/>
            </w:tcBorders>
            <w:shd w:val="clear" w:color="auto" w:fill="auto"/>
            <w:vAlign w:val="bottom"/>
          </w:tcPr>
          <w:p w14:paraId="5559E4F8"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Nazwa</w:t>
            </w:r>
          </w:p>
        </w:tc>
        <w:tc>
          <w:tcPr>
            <w:tcW w:w="2976" w:type="dxa"/>
            <w:tcBorders>
              <w:top w:val="single" w:sz="4" w:space="0" w:color="auto"/>
              <w:left w:val="single" w:sz="4" w:space="0" w:color="auto"/>
            </w:tcBorders>
            <w:shd w:val="clear" w:color="auto" w:fill="auto"/>
            <w:vAlign w:val="bottom"/>
          </w:tcPr>
          <w:p w14:paraId="74B1D95B"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Plan</w:t>
            </w:r>
          </w:p>
        </w:tc>
        <w:tc>
          <w:tcPr>
            <w:tcW w:w="1992" w:type="dxa"/>
            <w:tcBorders>
              <w:top w:val="single" w:sz="4" w:space="0" w:color="auto"/>
              <w:left w:val="single" w:sz="4" w:space="0" w:color="auto"/>
              <w:right w:val="single" w:sz="4" w:space="0" w:color="auto"/>
            </w:tcBorders>
            <w:shd w:val="clear" w:color="auto" w:fill="auto"/>
            <w:vAlign w:val="bottom"/>
          </w:tcPr>
          <w:p w14:paraId="65EC5B09"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Wykonanie</w:t>
            </w:r>
          </w:p>
        </w:tc>
      </w:tr>
      <w:tr w:rsidR="00C33595" w:rsidRPr="00C33595" w14:paraId="55802759" w14:textId="77777777" w:rsidTr="00234F17">
        <w:tblPrEx>
          <w:tblCellMar>
            <w:top w:w="0" w:type="dxa"/>
            <w:bottom w:w="0" w:type="dxa"/>
          </w:tblCellMar>
        </w:tblPrEx>
        <w:trPr>
          <w:trHeight w:hRule="exact" w:val="278"/>
          <w:jc w:val="center"/>
        </w:trPr>
        <w:tc>
          <w:tcPr>
            <w:tcW w:w="936" w:type="dxa"/>
            <w:tcBorders>
              <w:top w:val="single" w:sz="4" w:space="0" w:color="auto"/>
              <w:left w:val="single" w:sz="4" w:space="0" w:color="auto"/>
            </w:tcBorders>
            <w:shd w:val="clear" w:color="auto" w:fill="auto"/>
            <w:vAlign w:val="bottom"/>
          </w:tcPr>
          <w:p w14:paraId="7B02FEFD"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85153</w:t>
            </w:r>
          </w:p>
        </w:tc>
        <w:tc>
          <w:tcPr>
            <w:tcW w:w="3173" w:type="dxa"/>
            <w:tcBorders>
              <w:top w:val="single" w:sz="4" w:space="0" w:color="auto"/>
              <w:left w:val="single" w:sz="4" w:space="0" w:color="auto"/>
            </w:tcBorders>
            <w:shd w:val="clear" w:color="auto" w:fill="auto"/>
            <w:vAlign w:val="bottom"/>
          </w:tcPr>
          <w:p w14:paraId="3CFD27B9"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Zwalczanie narkomanii</w:t>
            </w:r>
          </w:p>
        </w:tc>
        <w:tc>
          <w:tcPr>
            <w:tcW w:w="2976" w:type="dxa"/>
            <w:tcBorders>
              <w:top w:val="single" w:sz="4" w:space="0" w:color="auto"/>
              <w:left w:val="single" w:sz="4" w:space="0" w:color="auto"/>
            </w:tcBorders>
            <w:shd w:val="clear" w:color="auto" w:fill="auto"/>
            <w:vAlign w:val="bottom"/>
          </w:tcPr>
          <w:p w14:paraId="56E9A8C4"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5 000,00</w:t>
            </w:r>
          </w:p>
        </w:tc>
        <w:tc>
          <w:tcPr>
            <w:tcW w:w="1992" w:type="dxa"/>
            <w:tcBorders>
              <w:top w:val="single" w:sz="4" w:space="0" w:color="auto"/>
              <w:left w:val="single" w:sz="4" w:space="0" w:color="auto"/>
              <w:right w:val="single" w:sz="4" w:space="0" w:color="auto"/>
            </w:tcBorders>
            <w:shd w:val="clear" w:color="auto" w:fill="auto"/>
            <w:vAlign w:val="bottom"/>
          </w:tcPr>
          <w:p w14:paraId="5CFC48C2"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2 800,00</w:t>
            </w:r>
          </w:p>
        </w:tc>
      </w:tr>
      <w:tr w:rsidR="00C33595" w:rsidRPr="00C33595" w14:paraId="495EA23B" w14:textId="77777777" w:rsidTr="00234F17">
        <w:tblPrEx>
          <w:tblCellMar>
            <w:top w:w="0" w:type="dxa"/>
            <w:bottom w:w="0" w:type="dxa"/>
          </w:tblCellMar>
        </w:tblPrEx>
        <w:trPr>
          <w:trHeight w:hRule="exact" w:val="278"/>
          <w:jc w:val="center"/>
        </w:trPr>
        <w:tc>
          <w:tcPr>
            <w:tcW w:w="936" w:type="dxa"/>
            <w:tcBorders>
              <w:top w:val="single" w:sz="4" w:space="0" w:color="auto"/>
              <w:left w:val="single" w:sz="4" w:space="0" w:color="auto"/>
            </w:tcBorders>
            <w:shd w:val="clear" w:color="auto" w:fill="auto"/>
            <w:vAlign w:val="bottom"/>
          </w:tcPr>
          <w:p w14:paraId="30725840"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85154</w:t>
            </w:r>
          </w:p>
        </w:tc>
        <w:tc>
          <w:tcPr>
            <w:tcW w:w="3173" w:type="dxa"/>
            <w:tcBorders>
              <w:top w:val="single" w:sz="4" w:space="0" w:color="auto"/>
              <w:left w:val="single" w:sz="4" w:space="0" w:color="auto"/>
            </w:tcBorders>
            <w:shd w:val="clear" w:color="auto" w:fill="auto"/>
            <w:vAlign w:val="bottom"/>
          </w:tcPr>
          <w:p w14:paraId="2DB05DB4"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Przeciwdziałanie alkoholizmowi</w:t>
            </w:r>
          </w:p>
        </w:tc>
        <w:tc>
          <w:tcPr>
            <w:tcW w:w="2976" w:type="dxa"/>
            <w:tcBorders>
              <w:top w:val="single" w:sz="4" w:space="0" w:color="auto"/>
              <w:left w:val="single" w:sz="4" w:space="0" w:color="auto"/>
            </w:tcBorders>
            <w:shd w:val="clear" w:color="auto" w:fill="auto"/>
            <w:vAlign w:val="bottom"/>
          </w:tcPr>
          <w:p w14:paraId="62077CAF"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271 275,71</w:t>
            </w:r>
          </w:p>
        </w:tc>
        <w:tc>
          <w:tcPr>
            <w:tcW w:w="1992" w:type="dxa"/>
            <w:tcBorders>
              <w:top w:val="single" w:sz="4" w:space="0" w:color="auto"/>
              <w:left w:val="single" w:sz="4" w:space="0" w:color="auto"/>
              <w:right w:val="single" w:sz="4" w:space="0" w:color="auto"/>
            </w:tcBorders>
            <w:shd w:val="clear" w:color="auto" w:fill="auto"/>
            <w:vAlign w:val="bottom"/>
          </w:tcPr>
          <w:p w14:paraId="54472B8D"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154 392,88</w:t>
            </w:r>
          </w:p>
        </w:tc>
      </w:tr>
      <w:tr w:rsidR="00C33595" w:rsidRPr="00C33595" w14:paraId="5D81B27D" w14:textId="77777777" w:rsidTr="00234F17">
        <w:tblPrEx>
          <w:tblCellMar>
            <w:top w:w="0" w:type="dxa"/>
            <w:bottom w:w="0" w:type="dxa"/>
          </w:tblCellMar>
        </w:tblPrEx>
        <w:trPr>
          <w:trHeight w:hRule="exact" w:val="816"/>
          <w:jc w:val="center"/>
        </w:trPr>
        <w:tc>
          <w:tcPr>
            <w:tcW w:w="936" w:type="dxa"/>
            <w:tcBorders>
              <w:top w:val="single" w:sz="4" w:space="0" w:color="auto"/>
              <w:left w:val="single" w:sz="4" w:space="0" w:color="auto"/>
            </w:tcBorders>
            <w:shd w:val="clear" w:color="auto" w:fill="auto"/>
          </w:tcPr>
          <w:p w14:paraId="4E827B63"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85154</w:t>
            </w:r>
          </w:p>
        </w:tc>
        <w:tc>
          <w:tcPr>
            <w:tcW w:w="3173" w:type="dxa"/>
            <w:tcBorders>
              <w:top w:val="single" w:sz="4" w:space="0" w:color="auto"/>
              <w:left w:val="single" w:sz="4" w:space="0" w:color="auto"/>
            </w:tcBorders>
            <w:shd w:val="clear" w:color="auto" w:fill="auto"/>
            <w:vAlign w:val="bottom"/>
          </w:tcPr>
          <w:p w14:paraId="7EC46984" w14:textId="77777777" w:rsidR="00C33595" w:rsidRPr="00C33595" w:rsidRDefault="00C33595" w:rsidP="00234F17">
            <w:pPr>
              <w:pStyle w:val="Inne0"/>
              <w:spacing w:after="0" w:line="240" w:lineRule="auto"/>
              <w:rPr>
                <w:rFonts w:ascii="Times New Roman" w:hAnsi="Times New Roman" w:cs="Times New Roman"/>
                <w:sz w:val="24"/>
                <w:szCs w:val="24"/>
              </w:rPr>
            </w:pPr>
            <w:r w:rsidRPr="00C33595">
              <w:rPr>
                <w:rFonts w:ascii="Times New Roman" w:hAnsi="Times New Roman" w:cs="Times New Roman"/>
                <w:color w:val="000000"/>
                <w:sz w:val="24"/>
                <w:szCs w:val="24"/>
                <w:lang w:bidi="pl-PL"/>
              </w:rPr>
              <w:t>Przeciwdziałanie alkoholizmowi - Gminny Zespół Świetlic Środowiskowych</w:t>
            </w:r>
          </w:p>
        </w:tc>
        <w:tc>
          <w:tcPr>
            <w:tcW w:w="2976" w:type="dxa"/>
            <w:tcBorders>
              <w:top w:val="single" w:sz="4" w:space="0" w:color="auto"/>
              <w:left w:val="single" w:sz="4" w:space="0" w:color="auto"/>
            </w:tcBorders>
            <w:shd w:val="clear" w:color="auto" w:fill="auto"/>
            <w:vAlign w:val="center"/>
          </w:tcPr>
          <w:p w14:paraId="5010E403"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353 000,00</w:t>
            </w:r>
          </w:p>
        </w:tc>
        <w:tc>
          <w:tcPr>
            <w:tcW w:w="1992" w:type="dxa"/>
            <w:tcBorders>
              <w:top w:val="single" w:sz="4" w:space="0" w:color="auto"/>
              <w:left w:val="single" w:sz="4" w:space="0" w:color="auto"/>
              <w:right w:val="single" w:sz="4" w:space="0" w:color="auto"/>
            </w:tcBorders>
            <w:shd w:val="clear" w:color="auto" w:fill="auto"/>
            <w:vAlign w:val="center"/>
          </w:tcPr>
          <w:p w14:paraId="3308390F"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320 173,18</w:t>
            </w:r>
          </w:p>
        </w:tc>
      </w:tr>
      <w:tr w:rsidR="00C33595" w:rsidRPr="00C33595" w14:paraId="74756136" w14:textId="77777777" w:rsidTr="00234F17">
        <w:tblPrEx>
          <w:tblCellMar>
            <w:top w:w="0" w:type="dxa"/>
            <w:bottom w:w="0" w:type="dxa"/>
          </w:tblCellMar>
        </w:tblPrEx>
        <w:trPr>
          <w:trHeight w:hRule="exact" w:val="288"/>
          <w:jc w:val="center"/>
        </w:trPr>
        <w:tc>
          <w:tcPr>
            <w:tcW w:w="4109" w:type="dxa"/>
            <w:gridSpan w:val="2"/>
            <w:tcBorders>
              <w:top w:val="single" w:sz="4" w:space="0" w:color="auto"/>
              <w:left w:val="single" w:sz="4" w:space="0" w:color="auto"/>
              <w:bottom w:val="single" w:sz="4" w:space="0" w:color="auto"/>
            </w:tcBorders>
            <w:shd w:val="clear" w:color="auto" w:fill="auto"/>
            <w:vAlign w:val="bottom"/>
          </w:tcPr>
          <w:p w14:paraId="53A94E89"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color w:val="000000"/>
                <w:sz w:val="24"/>
                <w:szCs w:val="24"/>
                <w:lang w:bidi="pl-PL"/>
              </w:rPr>
              <w:t>RAZEM</w:t>
            </w:r>
          </w:p>
        </w:tc>
        <w:tc>
          <w:tcPr>
            <w:tcW w:w="2976" w:type="dxa"/>
            <w:tcBorders>
              <w:top w:val="single" w:sz="4" w:space="0" w:color="auto"/>
              <w:left w:val="single" w:sz="4" w:space="0" w:color="auto"/>
              <w:bottom w:val="single" w:sz="4" w:space="0" w:color="auto"/>
            </w:tcBorders>
            <w:shd w:val="clear" w:color="auto" w:fill="auto"/>
            <w:vAlign w:val="bottom"/>
          </w:tcPr>
          <w:p w14:paraId="2136B18B"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629 275,71</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14:paraId="4A45D7D2" w14:textId="77777777" w:rsidR="00C33595" w:rsidRPr="00C33595" w:rsidRDefault="00C33595" w:rsidP="00234F17">
            <w:pPr>
              <w:pStyle w:val="Inne0"/>
              <w:spacing w:after="0" w:line="240" w:lineRule="auto"/>
              <w:jc w:val="center"/>
              <w:rPr>
                <w:rFonts w:ascii="Times New Roman" w:hAnsi="Times New Roman" w:cs="Times New Roman"/>
                <w:sz w:val="24"/>
                <w:szCs w:val="24"/>
              </w:rPr>
            </w:pPr>
            <w:r w:rsidRPr="00C33595">
              <w:rPr>
                <w:rFonts w:ascii="Times New Roman" w:hAnsi="Times New Roman" w:cs="Times New Roman"/>
                <w:b/>
                <w:bCs/>
                <w:color w:val="000000"/>
                <w:sz w:val="24"/>
                <w:szCs w:val="24"/>
                <w:lang w:bidi="pl-PL"/>
              </w:rPr>
              <w:t>477 366,06</w:t>
            </w:r>
          </w:p>
        </w:tc>
      </w:tr>
    </w:tbl>
    <w:p w14:paraId="561F5139" w14:textId="77777777" w:rsidR="00C33595" w:rsidRDefault="00C33595" w:rsidP="00C33595">
      <w:pPr>
        <w:spacing w:after="1159" w:line="1" w:lineRule="exact"/>
      </w:pPr>
    </w:p>
    <w:p w14:paraId="5CD1CE80" w14:textId="77777777" w:rsidR="00336711" w:rsidRPr="00C33595" w:rsidRDefault="00336711" w:rsidP="00C33595">
      <w:pPr>
        <w:spacing w:after="1159" w:line="1" w:lineRule="exact"/>
      </w:pPr>
    </w:p>
    <w:p w14:paraId="77EBDB0A" w14:textId="04DDE4B0" w:rsidR="00336711" w:rsidRPr="00336711" w:rsidRDefault="00336711" w:rsidP="00336711">
      <w:pPr>
        <w:pStyle w:val="Bezodstpw"/>
      </w:pPr>
      <w:r w:rsidRPr="00336711">
        <w:rPr>
          <w:lang w:bidi="pl-PL"/>
        </w:rPr>
        <w:lastRenderedPageBreak/>
        <w:t>Informacja dot. realizacji zadań w zakresie przeciwdziałania przem</w:t>
      </w:r>
      <w:r>
        <w:rPr>
          <w:lang w:bidi="pl-PL"/>
        </w:rPr>
        <w:t xml:space="preserve">ocy i ochrony ofiar przemocy za </w:t>
      </w:r>
      <w:r w:rsidRPr="00336711">
        <w:rPr>
          <w:lang w:bidi="pl-PL"/>
        </w:rPr>
        <w:t>2021 rok</w:t>
      </w:r>
    </w:p>
    <w:p w14:paraId="2E3F06F8" w14:textId="2C7E13E9" w:rsidR="00336711" w:rsidRPr="00336711" w:rsidRDefault="00336711" w:rsidP="00336711">
      <w:pPr>
        <w:pStyle w:val="Bezodstpw"/>
      </w:pPr>
      <w:r w:rsidRPr="00336711">
        <w:rPr>
          <w:lang w:bidi="pl-PL"/>
        </w:rPr>
        <w:t>Zespół Interdyscyplinarny</w:t>
      </w:r>
      <w:r w:rsidRPr="00336711">
        <w:rPr>
          <w:lang w:bidi="pl-PL"/>
        </w:rPr>
        <w:t xml:space="preserve"> został</w:t>
      </w:r>
      <w:r w:rsidRPr="00336711">
        <w:rPr>
          <w:lang w:bidi="pl-PL"/>
        </w:rPr>
        <w:t xml:space="preserve"> powołany Zarządzeniem Nr 1/B/2019 Burmistrza Miasta i Gminy Serock z dnia 2 stycznia 2019 r. z późn. zm. w składzie:</w:t>
      </w:r>
    </w:p>
    <w:p w14:paraId="42FB2725" w14:textId="4F9AD953" w:rsidR="00336711" w:rsidRPr="00336711" w:rsidRDefault="00336711" w:rsidP="00336711">
      <w:pPr>
        <w:pStyle w:val="Bezodstpw"/>
      </w:pPr>
      <w:r>
        <w:rPr>
          <w:lang w:bidi="pl-PL"/>
        </w:rPr>
        <w:t xml:space="preserve">- </w:t>
      </w:r>
      <w:r w:rsidRPr="00336711">
        <w:rPr>
          <w:lang w:bidi="pl-PL"/>
        </w:rPr>
        <w:t>Karolina Boniecka (Sąd Rejonowy w Legionowie)</w:t>
      </w:r>
    </w:p>
    <w:p w14:paraId="3819821F" w14:textId="0290377F" w:rsidR="00336711" w:rsidRPr="00336711" w:rsidRDefault="00336711" w:rsidP="00336711">
      <w:pPr>
        <w:pStyle w:val="Bezodstpw"/>
      </w:pPr>
      <w:r>
        <w:rPr>
          <w:lang w:bidi="pl-PL"/>
        </w:rPr>
        <w:t xml:space="preserve">- </w:t>
      </w:r>
      <w:r w:rsidRPr="00336711">
        <w:rPr>
          <w:lang w:bidi="pl-PL"/>
        </w:rPr>
        <w:t>Mariusz Łapiński (Komisariat Policji w Serocku)</w:t>
      </w:r>
    </w:p>
    <w:p w14:paraId="45A1A445" w14:textId="71ADBDA7" w:rsidR="00336711" w:rsidRPr="00336711" w:rsidRDefault="00336711" w:rsidP="00336711">
      <w:pPr>
        <w:pStyle w:val="Bezodstpw"/>
      </w:pPr>
      <w:r>
        <w:rPr>
          <w:lang w:bidi="pl-PL"/>
        </w:rPr>
        <w:t xml:space="preserve">- </w:t>
      </w:r>
      <w:r w:rsidRPr="00336711">
        <w:rPr>
          <w:lang w:bidi="pl-PL"/>
        </w:rPr>
        <w:t>Marcin Matusiak (Komisariat Policji w Serocku)</w:t>
      </w:r>
    </w:p>
    <w:p w14:paraId="6527D011" w14:textId="3151AA8E" w:rsidR="00336711" w:rsidRPr="00336711" w:rsidRDefault="00336711" w:rsidP="00336711">
      <w:pPr>
        <w:pStyle w:val="Bezodstpw"/>
      </w:pPr>
      <w:r>
        <w:rPr>
          <w:lang w:bidi="pl-PL"/>
        </w:rPr>
        <w:t xml:space="preserve">- </w:t>
      </w:r>
      <w:r w:rsidRPr="00336711">
        <w:rPr>
          <w:lang w:bidi="pl-PL"/>
        </w:rPr>
        <w:t>Artur Miętek (Sąd Rejonowy w Legionowie)</w:t>
      </w:r>
    </w:p>
    <w:p w14:paraId="436616AF" w14:textId="2508CFF2" w:rsidR="00336711" w:rsidRPr="00336711" w:rsidRDefault="00336711" w:rsidP="00336711">
      <w:pPr>
        <w:pStyle w:val="Bezodstpw"/>
      </w:pPr>
      <w:r>
        <w:rPr>
          <w:lang w:bidi="pl-PL"/>
        </w:rPr>
        <w:t xml:space="preserve">- </w:t>
      </w:r>
      <w:r w:rsidRPr="00336711">
        <w:rPr>
          <w:lang w:bidi="pl-PL"/>
        </w:rPr>
        <w:t>Zbigniew Prusinowski (Komisariat Policji w Serocku)</w:t>
      </w:r>
    </w:p>
    <w:p w14:paraId="3E8110BD" w14:textId="5E1E3FE5" w:rsidR="00336711" w:rsidRPr="00336711" w:rsidRDefault="00336711" w:rsidP="00336711">
      <w:pPr>
        <w:pStyle w:val="Bezodstpw"/>
      </w:pPr>
      <w:r>
        <w:rPr>
          <w:lang w:bidi="pl-PL"/>
        </w:rPr>
        <w:t xml:space="preserve">- </w:t>
      </w:r>
      <w:r w:rsidRPr="00336711">
        <w:rPr>
          <w:lang w:bidi="pl-PL"/>
        </w:rPr>
        <w:t>Iwona Przybyszewska (OPS Serock).</w:t>
      </w:r>
    </w:p>
    <w:p w14:paraId="786C0257" w14:textId="77777777" w:rsidR="00336711" w:rsidRPr="00336711" w:rsidRDefault="00336711" w:rsidP="00336711">
      <w:pPr>
        <w:pStyle w:val="Bezodstpw"/>
      </w:pPr>
      <w:r w:rsidRPr="00336711">
        <w:rPr>
          <w:lang w:bidi="pl-PL"/>
        </w:rPr>
        <w:t>W 2021 r. Zespół Interdyscyplinarny odbył 6 spotkań, powołano 25 grup roboczych, odbyły się 24 spotkania grup roboczych. Podczas grup roboczych prowadzone były indywidualne rozmowy z ofiarami i sprawcami przemocy.</w:t>
      </w:r>
    </w:p>
    <w:p w14:paraId="62A2C215" w14:textId="77777777" w:rsidR="00336711" w:rsidRPr="00336711" w:rsidRDefault="00336711" w:rsidP="00336711">
      <w:pPr>
        <w:pStyle w:val="Bezodstpw"/>
      </w:pPr>
      <w:r w:rsidRPr="00336711">
        <w:rPr>
          <w:lang w:bidi="pl-PL"/>
        </w:rPr>
        <w:t>Prowadzonych było 25 procedur „Niebieskich Kart”, z czego 22 były wszczęte w 2021 r., a 3 były kontynuowane z 2020 r.</w:t>
      </w:r>
    </w:p>
    <w:p w14:paraId="18FC90D9" w14:textId="77777777" w:rsidR="00336711" w:rsidRPr="00336711" w:rsidRDefault="00336711" w:rsidP="00336711">
      <w:pPr>
        <w:pStyle w:val="Bezodstpw"/>
      </w:pPr>
      <w:r w:rsidRPr="00336711">
        <w:rPr>
          <w:lang w:bidi="pl-PL"/>
        </w:rPr>
        <w:t>Na podstawie prowadzonych procedur „Niebieskiej Karty” ustalono, że przemocą zostało dotkniętych 27 osób, w tym:</w:t>
      </w:r>
    </w:p>
    <w:p w14:paraId="2C4D99EB" w14:textId="49860AE2" w:rsidR="00336711" w:rsidRPr="00336711" w:rsidRDefault="00336711" w:rsidP="00336711">
      <w:pPr>
        <w:pStyle w:val="Bezodstpw"/>
      </w:pPr>
      <w:r>
        <w:rPr>
          <w:lang w:bidi="pl-PL"/>
        </w:rPr>
        <w:t xml:space="preserve">- </w:t>
      </w:r>
      <w:r w:rsidRPr="00336711">
        <w:rPr>
          <w:lang w:bidi="pl-PL"/>
        </w:rPr>
        <w:t>25 kobiet;</w:t>
      </w:r>
    </w:p>
    <w:p w14:paraId="381691FB" w14:textId="365C6003" w:rsidR="00336711" w:rsidRPr="00336711" w:rsidRDefault="00336711" w:rsidP="00336711">
      <w:pPr>
        <w:pStyle w:val="Bezodstpw"/>
      </w:pPr>
      <w:r>
        <w:rPr>
          <w:lang w:bidi="pl-PL"/>
        </w:rPr>
        <w:t>-</w:t>
      </w:r>
      <w:r w:rsidRPr="00336711">
        <w:rPr>
          <w:lang w:bidi="pl-PL"/>
        </w:rPr>
        <w:t>2 mężczyzn.</w:t>
      </w:r>
    </w:p>
    <w:p w14:paraId="54EB1A35" w14:textId="77777777" w:rsidR="00336711" w:rsidRDefault="00336711" w:rsidP="00336711">
      <w:pPr>
        <w:pStyle w:val="Bezodstpw"/>
        <w:rPr>
          <w:lang w:bidi="pl-PL"/>
        </w:rPr>
      </w:pPr>
      <w:r w:rsidRPr="00336711">
        <w:rPr>
          <w:lang w:bidi="pl-PL"/>
        </w:rPr>
        <w:t>Nie odnotowano przemocy wobec dzieci.</w:t>
      </w:r>
    </w:p>
    <w:p w14:paraId="3E11608A" w14:textId="77777777" w:rsidR="0007116D" w:rsidRDefault="0007116D" w:rsidP="00336711">
      <w:pPr>
        <w:pStyle w:val="Bezodstpw"/>
        <w:rPr>
          <w:lang w:bidi="pl-PL"/>
        </w:rPr>
      </w:pPr>
    </w:p>
    <w:p w14:paraId="4B883DD4" w14:textId="618E4027" w:rsidR="0007116D" w:rsidRDefault="0007116D" w:rsidP="0007116D">
      <w:pPr>
        <w:pStyle w:val="Bezodstpw"/>
      </w:pPr>
      <w:r>
        <w:rPr>
          <w:lang w:bidi="pl-PL"/>
        </w:rPr>
        <w:t xml:space="preserve">Pani Skarbnik Monika Ordak powiedziała, że </w:t>
      </w:r>
      <w:r w:rsidRPr="00810E27">
        <w:t>Miasto i Gmina Serock w roku 2021 otrzymała dochody z</w:t>
      </w:r>
      <w:r w:rsidRPr="00F4483D">
        <w:rPr>
          <w:rFonts w:eastAsia="Times New Roman"/>
        </w:rPr>
        <w:t xml:space="preserve"> tytułu wpływu z opłat za wydane zezwolenia na sprzedaż napojów alkoholowych</w:t>
      </w:r>
      <w:r w:rsidRPr="00810E27">
        <w:t xml:space="preserve"> w </w:t>
      </w:r>
      <w:r>
        <w:t xml:space="preserve">łącznej </w:t>
      </w:r>
      <w:r w:rsidRPr="00810E27">
        <w:t xml:space="preserve">wysokości </w:t>
      </w:r>
      <w:r>
        <w:t>534.566,31</w:t>
      </w:r>
      <w:r w:rsidRPr="00810E27">
        <w:t xml:space="preserve"> zł</w:t>
      </w:r>
      <w:r>
        <w:rPr>
          <w:rFonts w:eastAsia="Times New Roman"/>
        </w:rPr>
        <w:t>.</w:t>
      </w:r>
      <w:r w:rsidRPr="00F4483D">
        <w:rPr>
          <w:rFonts w:eastAsia="Times New Roman"/>
        </w:rPr>
        <w:t xml:space="preserve"> </w:t>
      </w:r>
      <w:r>
        <w:rPr>
          <w:rFonts w:eastAsia="Times New Roman"/>
        </w:rPr>
        <w:t xml:space="preserve"> </w:t>
      </w:r>
      <w:r w:rsidRPr="00F4483D">
        <w:rPr>
          <w:rFonts w:eastAsia="Times New Roman"/>
        </w:rPr>
        <w:t>Przedsiębiorcy korzystający z zezwoleń na sprzedaż napojów alkoholowych dokonali opłat w wysokości 484.243,21 zł. Obliczenia wysokości opłat za korzystanie z zezwoleń na sprzedaż napojów alkoholowych dokonano zgodnie z art. 11 ustawy z dnia 26.10.1982r. o wychowaniu w trzeźwości i przeciwdziałaniu alkoholizmowi (Dz.U. z 2021r. poz. 1119 ze zm.), na podstawie pisemnych oświadczeń przedsiębiorców o wartości sprzedaży poszczególnych rodzajów napo</w:t>
      </w:r>
      <w:r>
        <w:rPr>
          <w:rFonts w:eastAsia="Times New Roman"/>
        </w:rPr>
        <w:t xml:space="preserve">jów alkoholowych w roku 2020. </w:t>
      </w:r>
      <w:r w:rsidRPr="00810E27">
        <w:rPr>
          <w:rFonts w:eastAsia="Times New Roman"/>
        </w:rPr>
        <w:t>U</w:t>
      </w:r>
      <w:r w:rsidRPr="00F4483D">
        <w:rPr>
          <w:rFonts w:eastAsia="Times New Roman"/>
        </w:rPr>
        <w:t xml:space="preserve">zyskano </w:t>
      </w:r>
      <w:r w:rsidRPr="00810E27">
        <w:rPr>
          <w:rFonts w:eastAsia="Times New Roman"/>
        </w:rPr>
        <w:t xml:space="preserve">również </w:t>
      </w:r>
      <w:r w:rsidRPr="00F4483D">
        <w:rPr>
          <w:rFonts w:eastAsia="Times New Roman"/>
        </w:rPr>
        <w:t>środki w wysokości 50.323,10 zł z tytułu wpływu części opłaty za zezwolenie na sprzedaż napojów alkoholowych w obrocie hurtowym w opakowaniach jednostkowych nieprzekraczających 300 ml, zgodnie z ustawą z dnia 26 października 1982r. o wychowaniu w trzeźwości i przeciwdziałaniu alkoholizmowi.</w:t>
      </w:r>
      <w:r>
        <w:rPr>
          <w:rFonts w:eastAsia="Times New Roman"/>
        </w:rPr>
        <w:t xml:space="preserve"> W związku z zapobieganiem, </w:t>
      </w:r>
      <w:r w:rsidRPr="00F4483D">
        <w:rPr>
          <w:rFonts w:eastAsia="Times New Roman"/>
        </w:rPr>
        <w:t xml:space="preserve">przeciwdziałaniem i zwalczaniem COVID-19, uchwałą Rady Miejskiej w Serocku </w:t>
      </w:r>
      <w:r>
        <w:rPr>
          <w:rFonts w:eastAsia="Times New Roman"/>
        </w:rPr>
        <w:br/>
      </w:r>
      <w:r w:rsidRPr="00F4483D">
        <w:rPr>
          <w:rFonts w:eastAsia="Times New Roman"/>
        </w:rPr>
        <w:t>Nr 377/XXXIV/2021 z dnia 17 marca 2021r., zwolniono przedsiębiorców prowadzących sprzedaż napojów alkoholowych przeznaczonych do spożycia w miejscu sprzedaży na terenie gminy z obowiązku wniesienia drugiej raty opłaty z tytułu korzystania z zezwoleń na sprzedaż napojów alkoholowych. Zwolnienie to wyniosło</w:t>
      </w:r>
      <w:r w:rsidRPr="00810E27">
        <w:rPr>
          <w:rFonts w:eastAsia="Times New Roman"/>
        </w:rPr>
        <w:t xml:space="preserve"> kwotę</w:t>
      </w:r>
      <w:r>
        <w:rPr>
          <w:rFonts w:eastAsia="Times New Roman"/>
        </w:rPr>
        <w:t xml:space="preserve">  </w:t>
      </w:r>
      <w:r w:rsidRPr="00F4483D">
        <w:rPr>
          <w:rFonts w:eastAsia="Times New Roman"/>
        </w:rPr>
        <w:t xml:space="preserve">40.057,23 zł. </w:t>
      </w:r>
      <w:r>
        <w:rPr>
          <w:rFonts w:eastAsia="Times New Roman"/>
        </w:rPr>
        <w:t xml:space="preserve"> </w:t>
      </w:r>
      <w:r>
        <w:t xml:space="preserve">Zaplanowane wydatki w kwocie 629.275,71 zł na realizację zadań określonych </w:t>
      </w:r>
      <w:r>
        <w:t xml:space="preserve"> </w:t>
      </w:r>
      <w:r>
        <w:t>w gminnym programie profilaktyki i rozwiazywania proble</w:t>
      </w:r>
      <w:r>
        <w:t xml:space="preserve">mów alkoholowych i </w:t>
      </w:r>
      <w:r>
        <w:t xml:space="preserve">przeciwdziałania narkomanii, wykonano w wysokość 477.366,06 zł. </w:t>
      </w:r>
    </w:p>
    <w:p w14:paraId="49935F90" w14:textId="77777777" w:rsidR="00674F4C" w:rsidRDefault="00674F4C" w:rsidP="0007116D">
      <w:pPr>
        <w:pStyle w:val="Bezodstpw"/>
      </w:pPr>
    </w:p>
    <w:p w14:paraId="35C5ECE2" w14:textId="585FFF8C" w:rsidR="00674F4C" w:rsidRDefault="00674F4C" w:rsidP="0007116D">
      <w:pPr>
        <w:pStyle w:val="Bezodstpw"/>
      </w:pPr>
      <w:r>
        <w:t xml:space="preserve">Radny </w:t>
      </w:r>
      <w:r w:rsidR="004437B9">
        <w:t>Krzysztof Zakolski zapytał kto wchodzi w skład grup roboczych powoływanych w Zespole Interdyscyplinarnym.</w:t>
      </w:r>
    </w:p>
    <w:p w14:paraId="78225691" w14:textId="77777777" w:rsidR="004437B9" w:rsidRDefault="004437B9" w:rsidP="0007116D">
      <w:pPr>
        <w:pStyle w:val="Bezodstpw"/>
      </w:pPr>
    </w:p>
    <w:p w14:paraId="75DB75E6" w14:textId="0CA49BEC" w:rsidR="004437B9" w:rsidRPr="0007116D" w:rsidRDefault="004437B9" w:rsidP="0007116D">
      <w:pPr>
        <w:pStyle w:val="Bezodstpw"/>
        <w:rPr>
          <w:rFonts w:eastAsia="Times New Roman"/>
        </w:rPr>
      </w:pPr>
      <w:r>
        <w:t xml:space="preserve">Kierownik Anna Orłowska odpowiedziała, że </w:t>
      </w:r>
      <w:r w:rsidR="00AB6AD1">
        <w:t xml:space="preserve">Zespół Interdyscyplinarny jest to grupa, która została powołana wyłącznie w zakresie przeciwdziałania przemocy, prowadzi postępowania związane z procedurą Niebieskiej Karty. W skład Zespołu wchodzą przedstawiciele Sądu, Policji, Ośrodka Pomocy Społecznej. Grupy robocze powoływane są z tych samych instytucji, jednak mogą być rozszerzone, tzn. mogą w zostać powołani pracownicy socjalni, policjanci </w:t>
      </w:r>
      <w:r w:rsidR="00AB6AD1">
        <w:lastRenderedPageBreak/>
        <w:t xml:space="preserve">którzy pracują na danym rejonie, gdy sprawa dotyczy dzieci może zostać powołany również pedagog szkolny itp. </w:t>
      </w:r>
    </w:p>
    <w:p w14:paraId="44B8D019" w14:textId="77777777" w:rsidR="0007116D" w:rsidRDefault="0007116D" w:rsidP="0007116D">
      <w:pPr>
        <w:jc w:val="both"/>
      </w:pPr>
    </w:p>
    <w:p w14:paraId="167A122D" w14:textId="4193D736" w:rsidR="002927B2" w:rsidRDefault="002927B2" w:rsidP="0007116D">
      <w:pPr>
        <w:jc w:val="both"/>
      </w:pPr>
      <w:r>
        <w:t>Radny Krzysztof Zakolski zapytał do czego upoważnia Niebieska Karta.</w:t>
      </w:r>
    </w:p>
    <w:p w14:paraId="5FB419A4" w14:textId="77777777" w:rsidR="002927B2" w:rsidRDefault="002927B2" w:rsidP="0007116D">
      <w:pPr>
        <w:jc w:val="both"/>
      </w:pPr>
    </w:p>
    <w:p w14:paraId="1B489F6B" w14:textId="42D36349" w:rsidR="002927B2" w:rsidRDefault="002927B2" w:rsidP="0007116D">
      <w:pPr>
        <w:jc w:val="both"/>
      </w:pPr>
      <w:r>
        <w:t xml:space="preserve">Kierownik Anna Orłowska odpowiedziała, że Niebieska Karta niesie za sobą poważne konsekwencje. Ma na celu to, żeby poprzez działania Zespołu Interdyscyplinarnego doprowadzić do zaprzestania występowania zjawiska przemocy. W przypadku gdy praca Zespołu nie przyniesie efektu Niebieska Karta może służyć jako dowód w postępowaniu karnym. </w:t>
      </w:r>
    </w:p>
    <w:p w14:paraId="548498FD" w14:textId="77777777" w:rsidR="006D4982" w:rsidRDefault="006D4982" w:rsidP="0007116D">
      <w:pPr>
        <w:jc w:val="both"/>
      </w:pPr>
    </w:p>
    <w:p w14:paraId="7DEE1273" w14:textId="68FE8F68" w:rsidR="006D4982" w:rsidRDefault="006D4982" w:rsidP="0007116D">
      <w:pPr>
        <w:jc w:val="both"/>
      </w:pPr>
      <w:r>
        <w:t xml:space="preserve">Radny Wiesław Winnicki </w:t>
      </w:r>
      <w:r w:rsidR="005310EE">
        <w:t xml:space="preserve">zapytał po jakim czasie może zostać zdjęta Niebieska Karta. </w:t>
      </w:r>
    </w:p>
    <w:p w14:paraId="08D075A8" w14:textId="77777777" w:rsidR="005310EE" w:rsidRDefault="005310EE" w:rsidP="0007116D">
      <w:pPr>
        <w:jc w:val="both"/>
      </w:pPr>
    </w:p>
    <w:p w14:paraId="5F058FAD" w14:textId="77777777" w:rsidR="00570E36" w:rsidRDefault="005310EE" w:rsidP="0007116D">
      <w:pPr>
        <w:jc w:val="both"/>
      </w:pPr>
      <w:r>
        <w:t xml:space="preserve">Kierownik Anna Orłowska odpowiedziała, że </w:t>
      </w:r>
      <w:r w:rsidR="004D609A">
        <w:t xml:space="preserve">podstawowym warunkiem jest stwierdzenie zaprzestania stosowania przemocy. </w:t>
      </w:r>
    </w:p>
    <w:p w14:paraId="217A3C23" w14:textId="77777777" w:rsidR="00570E36" w:rsidRDefault="00570E36" w:rsidP="0007116D">
      <w:pPr>
        <w:jc w:val="both"/>
      </w:pPr>
    </w:p>
    <w:p w14:paraId="403E5E96" w14:textId="1651C4C4" w:rsidR="005310EE" w:rsidRDefault="007D77B9" w:rsidP="0007116D">
      <w:pPr>
        <w:jc w:val="both"/>
      </w:pPr>
      <w:r>
        <w:t>Przewodniczący Komisji</w:t>
      </w:r>
      <w:r w:rsidR="00570E36">
        <w:t xml:space="preserve"> Sławomir Osiwała zapytał czy umorzenie opłaty dla przedsiębiorców z tytułu koncesji, które miało miejsce ze względu na pandemię Covid miało wpływ na to, że przez brak środków pewne zadania gminy nie zostały zrealizowane, oraz jaka to była kwota. </w:t>
      </w:r>
      <w:r>
        <w:t xml:space="preserve">Kolejne pytanie dotyczyło świetlic terapeutycznych na terenie gminy. Wg. danych budżet skierowany na bezpośrednią pomoc dla osób potrzebujących tzn. materiały dydaktyczne, wyposażenie, środki żywności wynosi 30 000zł na rok. Ta kwota w stosunku do 320 000zł wydatkowanych na świetlice jest stosunkowo niska. Wg. tych danych więcej środków wydatkowanych jest na obsługę świetlic niż na rzeczywistą pomoc. Przewodniczący Komisji poprosił o zdefiniowanie tej zależności, czy są to dobre proporcje oraz wyjaśnienie czy można jeszcze wygospodarować pewne środki, które zostaną przeznaczone na pomoc bezpośrednią. </w:t>
      </w:r>
    </w:p>
    <w:p w14:paraId="02F48C58" w14:textId="77777777" w:rsidR="00FE5131" w:rsidRDefault="00FE5131" w:rsidP="0007116D">
      <w:pPr>
        <w:jc w:val="both"/>
      </w:pPr>
    </w:p>
    <w:p w14:paraId="7AB8BF71" w14:textId="710F26F9" w:rsidR="00FE5131" w:rsidRDefault="00FE5131" w:rsidP="0007116D">
      <w:pPr>
        <w:jc w:val="both"/>
      </w:pPr>
      <w:r>
        <w:t>Pani Skarbnik Monika Ordak odpowiedziała, że w dniu 17 marca 2021r.  została podjęta uchwała w sprawie zwolnienia za korzystanie z zezwoleń na sprzedaż napojów alkoholowych, która dotyczyła z zwolnienia za wpłatę drugiej raty. Na podstawie tej uchwały udzielono ulgi 36 przedsiębiorcom na kwotę 4</w:t>
      </w:r>
      <w:r w:rsidR="003C2F51">
        <w:t xml:space="preserve">0 057 zł. </w:t>
      </w:r>
      <w:r w:rsidR="0013550F">
        <w:t xml:space="preserve">Po stronie dochodowej wykonano 534 000zł, z czego za zezwolenia na sprzedaż napojów alkoholowych w obrocie hurtowych czyli podatku od tzw. „małpek” gmina uzyskała 50 000zł. Jest to rata za pierwsze półrocze 2021r., druga rata wpłynie dopiero w roku 2022 po rozliczeniu przez przedsiębiorców i złożeniu deklaracji do US. Wszystkie zaplanowane zadania po stronie wydatkowej były realizowane. Nie zrealizowanie w pełni jakiegoś zadania nie było spowodowane tym, że zabrakło środków. </w:t>
      </w:r>
    </w:p>
    <w:p w14:paraId="6D570089" w14:textId="77777777" w:rsidR="0013550F" w:rsidRDefault="0013550F" w:rsidP="0007116D">
      <w:pPr>
        <w:jc w:val="both"/>
      </w:pPr>
    </w:p>
    <w:p w14:paraId="3DBC7F21" w14:textId="162103EA" w:rsidR="0013550F" w:rsidRDefault="0013550F" w:rsidP="0007116D">
      <w:pPr>
        <w:jc w:val="both"/>
      </w:pPr>
      <w:r>
        <w:t>Kierownik Anna Or</w:t>
      </w:r>
      <w:r w:rsidR="008C7D57">
        <w:t xml:space="preserve">łowska uzupełniła odpowiedź, że pewnych programów profilaktycznych i zadań nie można było realizować w pełni ze względu na sytuacje pandemiczną i to, że szkoły pracowały w trybie zdalnym, nie można było w pełni zrealizować zadań min. rekreacyjno- sportowych. Programy kierowane do osób dorosłych były realizowane. </w:t>
      </w:r>
    </w:p>
    <w:p w14:paraId="784CF540" w14:textId="1F921B87" w:rsidR="006048A7" w:rsidRDefault="006048A7" w:rsidP="0007116D">
      <w:pPr>
        <w:jc w:val="both"/>
      </w:pPr>
      <w:r>
        <w:t>Budżet świetlic terapeutycznych został podzielony na dwa zadania.</w:t>
      </w:r>
      <w:r w:rsidR="00FE062B">
        <w:t xml:space="preserve"> Część środków trafia do OPS na </w:t>
      </w:r>
      <w:r w:rsidR="00836F7F">
        <w:t>działalność</w:t>
      </w:r>
      <w:r w:rsidR="00FE062B">
        <w:t xml:space="preserve"> świetlic terapeutycznych, a druga część</w:t>
      </w:r>
      <w:r w:rsidR="00836F7F">
        <w:t xml:space="preserve"> jest przeznaczona na pozostałą działalność.</w:t>
      </w:r>
      <w:r w:rsidR="000D05FF">
        <w:t xml:space="preserve"> </w:t>
      </w:r>
      <w:r>
        <w:t xml:space="preserve"> Największą część budżetu pochłaniają</w:t>
      </w:r>
      <w:r w:rsidR="00836F7F">
        <w:t xml:space="preserve"> wynagrodzenia dla pracowników, wydatki związane z mediami, opłatami. Część środków została wydatkowana na podnoszenie standardu świetlic, tzn. remont, wymiana mebli itp. </w:t>
      </w:r>
    </w:p>
    <w:p w14:paraId="203C3A44" w14:textId="77777777" w:rsidR="00D6314D" w:rsidRDefault="00D6314D" w:rsidP="0007116D">
      <w:pPr>
        <w:jc w:val="both"/>
      </w:pPr>
    </w:p>
    <w:p w14:paraId="4194120D" w14:textId="0E2FD8CD" w:rsidR="00D6314D" w:rsidRDefault="00D6314D" w:rsidP="0007116D">
      <w:pPr>
        <w:jc w:val="both"/>
      </w:pPr>
      <w:r>
        <w:t>Radny Sławomir Osiwała zapytał czy grupy robocze Zespołu Interdyscyplinarnego są finansowane za pracę czy tylko Zespół Interdyscyplinarny.</w:t>
      </w:r>
    </w:p>
    <w:p w14:paraId="151A6AD3" w14:textId="77777777" w:rsidR="002927B2" w:rsidRDefault="002927B2" w:rsidP="0007116D">
      <w:pPr>
        <w:jc w:val="both"/>
      </w:pPr>
    </w:p>
    <w:p w14:paraId="5C9CF2C8" w14:textId="6029FD9B" w:rsidR="00D6314D" w:rsidRPr="00810E27" w:rsidRDefault="00D6314D" w:rsidP="0007116D">
      <w:pPr>
        <w:jc w:val="both"/>
      </w:pPr>
      <w:r>
        <w:lastRenderedPageBreak/>
        <w:t xml:space="preserve">Kierownik Anna Orłowska odpowiedziała, że nie jest to finansowane. </w:t>
      </w:r>
    </w:p>
    <w:p w14:paraId="583D05C8" w14:textId="6D537C29" w:rsidR="006B13F2" w:rsidRDefault="00D6314D" w:rsidP="00D86739">
      <w:pPr>
        <w:pStyle w:val="NormalnyWeb"/>
        <w:spacing w:before="0" w:beforeAutospacing="0" w:after="0" w:afterAutospacing="0"/>
      </w:pPr>
      <w:r>
        <w:br/>
      </w:r>
      <w:bookmarkStart w:id="3" w:name="_GoBack"/>
      <w:bookmarkEnd w:id="3"/>
      <w:r w:rsidR="004C2521" w:rsidRPr="009521C2">
        <w:rPr>
          <w:b/>
          <w:bCs/>
        </w:rPr>
        <w:t>3. Przyjęcie protokołów z poprzednich posiedzeń.</w:t>
      </w:r>
      <w:r w:rsidR="004C2521" w:rsidRPr="009521C2">
        <w:rPr>
          <w:b/>
          <w:bCs/>
        </w:rPr>
        <w:br/>
      </w:r>
      <w:r w:rsidR="004C2521">
        <w:br/>
      </w:r>
      <w:r w:rsidR="0016618F" w:rsidRPr="0016618F">
        <w:t>Protokoły zostały przyjęte bez uwag.</w:t>
      </w:r>
      <w:r w:rsidR="004C2521">
        <w:br/>
      </w:r>
      <w:r w:rsidR="004C2521">
        <w:br/>
      </w:r>
      <w:r w:rsidR="004C2521">
        <w:br/>
      </w:r>
      <w:r w:rsidR="004C2521" w:rsidRPr="009521C2">
        <w:rPr>
          <w:b/>
          <w:bCs/>
        </w:rPr>
        <w:t>4. Sprawy różne.</w:t>
      </w:r>
      <w:r w:rsidR="004C2521" w:rsidRPr="009521C2">
        <w:rPr>
          <w:b/>
          <w:bCs/>
        </w:rPr>
        <w:br/>
      </w:r>
      <w:r w:rsidR="004C2521">
        <w:br/>
      </w:r>
      <w:r w:rsidR="007045CD">
        <w:t>Brak zgłoszeń.</w:t>
      </w:r>
      <w:r w:rsidR="004C2521">
        <w:br/>
      </w:r>
      <w:r w:rsidR="004C2521">
        <w:br/>
      </w:r>
      <w:r w:rsidR="004C2521">
        <w:br/>
      </w:r>
      <w:r w:rsidR="004C2521" w:rsidRPr="009521C2">
        <w:rPr>
          <w:b/>
          <w:bCs/>
        </w:rPr>
        <w:t>5. Zakończenie posiedzenia.</w:t>
      </w:r>
      <w:r w:rsidR="004C2521" w:rsidRPr="009521C2">
        <w:rPr>
          <w:b/>
          <w:bCs/>
        </w:rPr>
        <w:br/>
      </w:r>
      <w:r w:rsidR="004C2521">
        <w:br/>
      </w:r>
      <w:r w:rsidR="0016618F" w:rsidRPr="0016618F">
        <w:t>W związku z wyczerpaniem porządku obrad Przewodniczący Komisji Rewizyjnej Sławomir Osiwała zakończył posiedzenie Komisji Rewizyjnej.</w:t>
      </w:r>
      <w:r w:rsidR="004C2521">
        <w:br/>
      </w:r>
    </w:p>
    <w:p w14:paraId="3813A3A5" w14:textId="77777777" w:rsidR="006B13F2" w:rsidRDefault="004C2521">
      <w:pPr>
        <w:pStyle w:val="NormalnyWeb"/>
      </w:pPr>
      <w:r>
        <w:t> </w:t>
      </w:r>
    </w:p>
    <w:p w14:paraId="33DD0A4A" w14:textId="433AFA23" w:rsidR="009521C2" w:rsidRDefault="004C2521" w:rsidP="009521C2">
      <w:pPr>
        <w:pStyle w:val="NormalnyWeb"/>
        <w:spacing w:before="0" w:beforeAutospacing="0" w:after="0" w:afterAutospacing="0" w:line="360" w:lineRule="auto"/>
        <w:jc w:val="center"/>
      </w:pPr>
      <w:r>
        <w:t>Przewodniczący</w:t>
      </w:r>
      <w:r w:rsidR="00C33595">
        <w:t xml:space="preserve"> Komisji Rewizyjnej</w:t>
      </w:r>
    </w:p>
    <w:p w14:paraId="6479D08C" w14:textId="1ACD95B0" w:rsidR="006B13F2" w:rsidRDefault="009521C2" w:rsidP="009521C2">
      <w:pPr>
        <w:pStyle w:val="NormalnyWeb"/>
        <w:spacing w:before="0" w:beforeAutospacing="0" w:after="0" w:afterAutospacing="0" w:line="360" w:lineRule="auto"/>
        <w:jc w:val="center"/>
      </w:pPr>
      <w:r>
        <w:t>Sławomir Osiwała</w:t>
      </w:r>
      <w:r w:rsidR="004C2521">
        <w:br/>
      </w:r>
    </w:p>
    <w:p w14:paraId="3042825F" w14:textId="77777777" w:rsidR="006B13F2" w:rsidRDefault="004C2521">
      <w:pPr>
        <w:pStyle w:val="NormalnyWeb"/>
        <w:jc w:val="center"/>
      </w:pPr>
      <w:r>
        <w:t> </w:t>
      </w:r>
    </w:p>
    <w:p w14:paraId="0290457D" w14:textId="77777777" w:rsidR="006B13F2" w:rsidRDefault="004C2521">
      <w:pPr>
        <w:pStyle w:val="NormalnyWeb"/>
      </w:pPr>
      <w:r>
        <w:br/>
        <w:t>Przygotował(a): Justyna Kuniewicz</w:t>
      </w:r>
    </w:p>
    <w:p w14:paraId="73C6911E" w14:textId="77777777" w:rsidR="006B13F2" w:rsidRDefault="00D6314D">
      <w:pPr>
        <w:rPr>
          <w:rFonts w:eastAsia="Times New Roman"/>
        </w:rPr>
      </w:pPr>
      <w:r>
        <w:rPr>
          <w:rFonts w:eastAsia="Times New Roman"/>
        </w:rPr>
        <w:pict w14:anchorId="35B9C709">
          <v:rect id="_x0000_i1025" style="width:0;height:1.5pt" o:hralign="center" o:hrstd="t" o:hr="t" fillcolor="#a0a0a0" stroked="f"/>
        </w:pict>
      </w:r>
    </w:p>
    <w:p w14:paraId="23BA1B65" w14:textId="77777777" w:rsidR="004C2521" w:rsidRDefault="004C252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4C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B9C"/>
    <w:multiLevelType w:val="multilevel"/>
    <w:tmpl w:val="D1C072A2"/>
    <w:lvl w:ilvl="0">
      <w:start w:val="5"/>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60282"/>
    <w:multiLevelType w:val="multilevel"/>
    <w:tmpl w:val="E3966C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A0AB2"/>
    <w:multiLevelType w:val="multilevel"/>
    <w:tmpl w:val="09DA37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7E4098"/>
    <w:multiLevelType w:val="multilevel"/>
    <w:tmpl w:val="AEDE17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A4054D"/>
    <w:multiLevelType w:val="multilevel"/>
    <w:tmpl w:val="FFA4D1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E6"/>
    <w:rsid w:val="00007A0F"/>
    <w:rsid w:val="00020AF0"/>
    <w:rsid w:val="00023AF1"/>
    <w:rsid w:val="00026009"/>
    <w:rsid w:val="0007116D"/>
    <w:rsid w:val="000725D0"/>
    <w:rsid w:val="0008075F"/>
    <w:rsid w:val="000B78F5"/>
    <w:rsid w:val="000D05FF"/>
    <w:rsid w:val="00124927"/>
    <w:rsid w:val="0013550F"/>
    <w:rsid w:val="0016618F"/>
    <w:rsid w:val="00170D3D"/>
    <w:rsid w:val="00180C42"/>
    <w:rsid w:val="001D4075"/>
    <w:rsid w:val="001F2568"/>
    <w:rsid w:val="00203DD1"/>
    <w:rsid w:val="0027688D"/>
    <w:rsid w:val="002927B2"/>
    <w:rsid w:val="002F10F2"/>
    <w:rsid w:val="00336711"/>
    <w:rsid w:val="003422B5"/>
    <w:rsid w:val="00374845"/>
    <w:rsid w:val="00393047"/>
    <w:rsid w:val="003C1469"/>
    <w:rsid w:val="003C2F51"/>
    <w:rsid w:val="003D5EE5"/>
    <w:rsid w:val="004437B9"/>
    <w:rsid w:val="00476830"/>
    <w:rsid w:val="004C2521"/>
    <w:rsid w:val="004C5BFD"/>
    <w:rsid w:val="004D609A"/>
    <w:rsid w:val="005310EE"/>
    <w:rsid w:val="00570E36"/>
    <w:rsid w:val="00575BC9"/>
    <w:rsid w:val="005864A4"/>
    <w:rsid w:val="005C7721"/>
    <w:rsid w:val="006048A7"/>
    <w:rsid w:val="00674F4C"/>
    <w:rsid w:val="006B13F2"/>
    <w:rsid w:val="006D4982"/>
    <w:rsid w:val="006D4D0B"/>
    <w:rsid w:val="007045CD"/>
    <w:rsid w:val="007065B9"/>
    <w:rsid w:val="007B5297"/>
    <w:rsid w:val="007C0D19"/>
    <w:rsid w:val="007D5F15"/>
    <w:rsid w:val="007D77B9"/>
    <w:rsid w:val="00836F7F"/>
    <w:rsid w:val="00881FF4"/>
    <w:rsid w:val="008C7D57"/>
    <w:rsid w:val="0091269A"/>
    <w:rsid w:val="009521C2"/>
    <w:rsid w:val="00972801"/>
    <w:rsid w:val="009770E6"/>
    <w:rsid w:val="0098405B"/>
    <w:rsid w:val="00A01BFB"/>
    <w:rsid w:val="00A71C99"/>
    <w:rsid w:val="00AB6AD1"/>
    <w:rsid w:val="00B027C3"/>
    <w:rsid w:val="00B31C2D"/>
    <w:rsid w:val="00B608A4"/>
    <w:rsid w:val="00BC4A56"/>
    <w:rsid w:val="00C04CF8"/>
    <w:rsid w:val="00C0620F"/>
    <w:rsid w:val="00C21881"/>
    <w:rsid w:val="00C24CBE"/>
    <w:rsid w:val="00C33595"/>
    <w:rsid w:val="00CC790D"/>
    <w:rsid w:val="00CD6D61"/>
    <w:rsid w:val="00D065A0"/>
    <w:rsid w:val="00D202F2"/>
    <w:rsid w:val="00D6314D"/>
    <w:rsid w:val="00D86739"/>
    <w:rsid w:val="00DA722B"/>
    <w:rsid w:val="00E113A6"/>
    <w:rsid w:val="00EA69EF"/>
    <w:rsid w:val="00F715E9"/>
    <w:rsid w:val="00F93529"/>
    <w:rsid w:val="00FE062B"/>
    <w:rsid w:val="00FE5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FF137"/>
  <w15:chartTrackingRefBased/>
  <w15:docId w15:val="{1C093603-8E2A-493A-A3EB-6CA87A26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Teksttreci">
    <w:name w:val="Tekst treści_"/>
    <w:basedOn w:val="Domylnaczcionkaakapitu"/>
    <w:link w:val="Teksttreci0"/>
    <w:rsid w:val="00C33595"/>
    <w:rPr>
      <w:rFonts w:ascii="Calibri" w:eastAsia="Calibri" w:hAnsi="Calibri" w:cs="Calibri"/>
      <w:sz w:val="22"/>
      <w:szCs w:val="22"/>
    </w:rPr>
  </w:style>
  <w:style w:type="character" w:customStyle="1" w:styleId="Nagwek1">
    <w:name w:val="Nagłówek #1_"/>
    <w:basedOn w:val="Domylnaczcionkaakapitu"/>
    <w:link w:val="Nagwek10"/>
    <w:rsid w:val="00C33595"/>
    <w:rPr>
      <w:rFonts w:ascii="Calibri" w:eastAsia="Calibri" w:hAnsi="Calibri" w:cs="Calibri"/>
      <w:b/>
      <w:bCs/>
      <w:sz w:val="22"/>
      <w:szCs w:val="22"/>
    </w:rPr>
  </w:style>
  <w:style w:type="character" w:customStyle="1" w:styleId="Podpistabeli">
    <w:name w:val="Podpis tabeli_"/>
    <w:basedOn w:val="Domylnaczcionkaakapitu"/>
    <w:link w:val="Podpistabeli0"/>
    <w:rsid w:val="00C33595"/>
    <w:rPr>
      <w:rFonts w:ascii="Calibri" w:eastAsia="Calibri" w:hAnsi="Calibri" w:cs="Calibri"/>
      <w:sz w:val="22"/>
      <w:szCs w:val="22"/>
    </w:rPr>
  </w:style>
  <w:style w:type="character" w:customStyle="1" w:styleId="Inne">
    <w:name w:val="Inne_"/>
    <w:basedOn w:val="Domylnaczcionkaakapitu"/>
    <w:link w:val="Inne0"/>
    <w:rsid w:val="00C33595"/>
    <w:rPr>
      <w:rFonts w:ascii="Calibri" w:eastAsia="Calibri" w:hAnsi="Calibri" w:cs="Calibri"/>
      <w:sz w:val="22"/>
      <w:szCs w:val="22"/>
    </w:rPr>
  </w:style>
  <w:style w:type="paragraph" w:customStyle="1" w:styleId="Teksttreci0">
    <w:name w:val="Tekst treści"/>
    <w:basedOn w:val="Normalny"/>
    <w:link w:val="Teksttreci"/>
    <w:rsid w:val="00C33595"/>
    <w:pPr>
      <w:widowControl w:val="0"/>
      <w:spacing w:after="160" w:line="257" w:lineRule="auto"/>
    </w:pPr>
    <w:rPr>
      <w:rFonts w:ascii="Calibri" w:eastAsia="Calibri" w:hAnsi="Calibri" w:cs="Calibri"/>
      <w:sz w:val="22"/>
      <w:szCs w:val="22"/>
    </w:rPr>
  </w:style>
  <w:style w:type="paragraph" w:customStyle="1" w:styleId="Nagwek10">
    <w:name w:val="Nagłówek #1"/>
    <w:basedOn w:val="Normalny"/>
    <w:link w:val="Nagwek1"/>
    <w:rsid w:val="00C33595"/>
    <w:pPr>
      <w:widowControl w:val="0"/>
      <w:spacing w:after="160" w:line="257" w:lineRule="auto"/>
      <w:ind w:firstLine="380"/>
      <w:outlineLvl w:val="0"/>
    </w:pPr>
    <w:rPr>
      <w:rFonts w:ascii="Calibri" w:eastAsia="Calibri" w:hAnsi="Calibri" w:cs="Calibri"/>
      <w:b/>
      <w:bCs/>
      <w:sz w:val="22"/>
      <w:szCs w:val="22"/>
    </w:rPr>
  </w:style>
  <w:style w:type="paragraph" w:customStyle="1" w:styleId="Podpistabeli0">
    <w:name w:val="Podpis tabeli"/>
    <w:basedOn w:val="Normalny"/>
    <w:link w:val="Podpistabeli"/>
    <w:rsid w:val="00C33595"/>
    <w:pPr>
      <w:widowControl w:val="0"/>
    </w:pPr>
    <w:rPr>
      <w:rFonts w:ascii="Calibri" w:eastAsia="Calibri" w:hAnsi="Calibri" w:cs="Calibri"/>
      <w:sz w:val="22"/>
      <w:szCs w:val="22"/>
    </w:rPr>
  </w:style>
  <w:style w:type="paragraph" w:customStyle="1" w:styleId="Inne0">
    <w:name w:val="Inne"/>
    <w:basedOn w:val="Normalny"/>
    <w:link w:val="Inne"/>
    <w:rsid w:val="00C33595"/>
    <w:pPr>
      <w:widowControl w:val="0"/>
      <w:spacing w:after="160" w:line="257" w:lineRule="auto"/>
    </w:pPr>
    <w:rPr>
      <w:rFonts w:ascii="Calibri" w:eastAsia="Calibri" w:hAnsi="Calibri" w:cs="Calibri"/>
      <w:sz w:val="22"/>
      <w:szCs w:val="22"/>
    </w:rPr>
  </w:style>
  <w:style w:type="paragraph" w:styleId="Bezodstpw">
    <w:name w:val="No Spacing"/>
    <w:uiPriority w:val="1"/>
    <w:qFormat/>
    <w:rsid w:val="0033671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2012</Words>
  <Characters>12075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70</cp:revision>
  <dcterms:created xsi:type="dcterms:W3CDTF">2022-03-16T10:56:00Z</dcterms:created>
  <dcterms:modified xsi:type="dcterms:W3CDTF">2022-03-18T12:17:00Z</dcterms:modified>
</cp:coreProperties>
</file>