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4C2F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14:paraId="170B609F" w14:textId="36841130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14:paraId="2A867A6C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04134B3B" w14:textId="03942DB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</w:p>
    <w:p w14:paraId="7339C4EC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D59A1" w14:textId="77777777" w:rsidR="00BE0C23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7B5C8" w14:textId="453FBCDE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583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14:paraId="3DF5A7CD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33DEA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583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14:paraId="0CDAF6B4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70FD0" w14:textId="156BAC44" w:rsidR="00CB3ECE" w:rsidRPr="00FD7583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583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8E26C3" w:rsidRPr="00FD75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6063" w:rsidRPr="00FD75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3ED4" w:rsidRPr="00FD7583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FD75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6063" w:rsidRPr="00FD758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6666FC9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B47F6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48F51" w14:textId="53B67F52" w:rsidR="00CB3ECE" w:rsidRPr="00FD7583" w:rsidRDefault="00E86F34" w:rsidP="00E86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 xml:space="preserve">Wieloletnia prognoza finansowa Miasta i Gminy Serock została sporządzona zgodnie z art. 226 – 232 ustawy o finansach publicznych z dnia 27.08.2009r. i </w:t>
      </w:r>
      <w:r w:rsidR="00D92EF2" w:rsidRPr="00FD7583">
        <w:rPr>
          <w:rFonts w:ascii="Times New Roman" w:hAnsi="Times New Roman" w:cs="Times New Roman"/>
          <w:sz w:val="24"/>
          <w:szCs w:val="24"/>
        </w:rPr>
        <w:t>obejmuje lata 20</w:t>
      </w:r>
      <w:r w:rsidR="000069BE" w:rsidRPr="00FD7583">
        <w:rPr>
          <w:rFonts w:ascii="Times New Roman" w:hAnsi="Times New Roman" w:cs="Times New Roman"/>
          <w:sz w:val="24"/>
          <w:szCs w:val="24"/>
        </w:rPr>
        <w:t>2</w:t>
      </w:r>
      <w:r w:rsidR="008E26C3" w:rsidRPr="00FD7583">
        <w:rPr>
          <w:rFonts w:ascii="Times New Roman" w:hAnsi="Times New Roman" w:cs="Times New Roman"/>
          <w:sz w:val="24"/>
          <w:szCs w:val="24"/>
        </w:rPr>
        <w:t>1</w:t>
      </w:r>
      <w:r w:rsidR="008C3ED4" w:rsidRPr="00FD7583">
        <w:rPr>
          <w:rFonts w:ascii="Times New Roman" w:hAnsi="Times New Roman" w:cs="Times New Roman"/>
          <w:sz w:val="24"/>
          <w:szCs w:val="24"/>
        </w:rPr>
        <w:t>– 20</w:t>
      </w:r>
      <w:r w:rsidR="000069BE" w:rsidRPr="00FD7583">
        <w:rPr>
          <w:rFonts w:ascii="Times New Roman" w:hAnsi="Times New Roman" w:cs="Times New Roman"/>
          <w:sz w:val="24"/>
          <w:szCs w:val="24"/>
        </w:rPr>
        <w:t>3</w:t>
      </w:r>
      <w:r w:rsidR="008E26C3" w:rsidRPr="00FD7583">
        <w:rPr>
          <w:rFonts w:ascii="Times New Roman" w:hAnsi="Times New Roman" w:cs="Times New Roman"/>
          <w:sz w:val="24"/>
          <w:szCs w:val="24"/>
        </w:rPr>
        <w:t>6</w:t>
      </w:r>
      <w:r w:rsidR="00CB3ECE" w:rsidRPr="00FD7583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FD7583">
        <w:rPr>
          <w:rFonts w:ascii="Times New Roman" w:hAnsi="Times New Roman" w:cs="Times New Roman"/>
          <w:sz w:val="24"/>
          <w:szCs w:val="24"/>
        </w:rPr>
        <w:t>się</w:t>
      </w:r>
      <w:r w:rsidR="00CB3ECE" w:rsidRPr="00FD7583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FD7583">
        <w:rPr>
          <w:rFonts w:ascii="Times New Roman" w:hAnsi="Times New Roman" w:cs="Times New Roman"/>
          <w:sz w:val="24"/>
          <w:szCs w:val="24"/>
        </w:rPr>
        <w:t>spłaty</w:t>
      </w:r>
      <w:r w:rsidR="00CB3ECE" w:rsidRPr="00FD7583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FD7583">
        <w:rPr>
          <w:rFonts w:ascii="Times New Roman" w:hAnsi="Times New Roman" w:cs="Times New Roman"/>
          <w:sz w:val="24"/>
          <w:szCs w:val="24"/>
        </w:rPr>
        <w:t>zaciągnięcia</w:t>
      </w:r>
      <w:r w:rsidR="00CB3ECE" w:rsidRPr="00FD7583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14:paraId="39DB064B" w14:textId="77777777" w:rsidR="00340D02" w:rsidRPr="00CA2E4A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28D4C6E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7583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14:paraId="21B9E1FE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926E" w14:textId="3743A282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FD7583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FD7583">
        <w:rPr>
          <w:rFonts w:ascii="Times New Roman" w:hAnsi="Times New Roman" w:cs="Times New Roman"/>
          <w:sz w:val="24"/>
          <w:szCs w:val="24"/>
        </w:rPr>
        <w:t>2</w:t>
      </w:r>
      <w:r w:rsidR="00F06A45" w:rsidRPr="00FD7583">
        <w:rPr>
          <w:rFonts w:ascii="Times New Roman" w:hAnsi="Times New Roman" w:cs="Times New Roman"/>
          <w:sz w:val="24"/>
          <w:szCs w:val="24"/>
        </w:rPr>
        <w:t>1</w:t>
      </w:r>
      <w:r w:rsidRPr="00FD7583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14:paraId="1D4178E7" w14:textId="77777777" w:rsidR="00CB3ECE" w:rsidRPr="00FD7583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14:paraId="73C801F8" w14:textId="77777777" w:rsidR="00CB3ECE" w:rsidRPr="00FD7583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FD75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D7583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14:paraId="5B006EF1" w14:textId="77777777" w:rsidR="00CB3ECE" w:rsidRPr="00FD7583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14:paraId="3AAD0A76" w14:textId="77777777" w:rsidR="00CB3ECE" w:rsidRPr="00FD7583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FD7583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FD7583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14:paraId="1B7734D3" w14:textId="77777777" w:rsidR="00CB3ECE" w:rsidRPr="00FD7583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14:paraId="473241F7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8D39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FD7583">
        <w:rPr>
          <w:rFonts w:ascii="Times New Roman" w:hAnsi="Times New Roman" w:cs="Times New Roman"/>
          <w:sz w:val="24"/>
          <w:szCs w:val="24"/>
        </w:rPr>
        <w:t>przedsiębiorców</w:t>
      </w:r>
      <w:r w:rsidRPr="00FD7583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FD7583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FD7583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FD7583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FD7583">
        <w:rPr>
          <w:rFonts w:ascii="Times New Roman" w:hAnsi="Times New Roman" w:cs="Times New Roman"/>
          <w:sz w:val="24"/>
          <w:szCs w:val="24"/>
        </w:rPr>
        <w:t>, który</w:t>
      </w:r>
      <w:r w:rsidR="008C3ED4" w:rsidRPr="00FD7583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FD7583">
        <w:rPr>
          <w:rFonts w:ascii="Times New Roman" w:hAnsi="Times New Roman" w:cs="Times New Roman"/>
          <w:sz w:val="24"/>
          <w:szCs w:val="24"/>
        </w:rPr>
        <w:t>ów</w:t>
      </w:r>
      <w:r w:rsidR="008C3ED4" w:rsidRPr="00FD7583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FD7583">
        <w:rPr>
          <w:rFonts w:ascii="Times New Roman" w:hAnsi="Times New Roman" w:cs="Times New Roman"/>
          <w:sz w:val="24"/>
          <w:szCs w:val="24"/>
        </w:rPr>
        <w:t>ych</w:t>
      </w:r>
      <w:r w:rsidR="008C3ED4" w:rsidRPr="00FD7583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FD7583">
        <w:rPr>
          <w:rFonts w:ascii="Times New Roman" w:hAnsi="Times New Roman" w:cs="Times New Roman"/>
          <w:sz w:val="24"/>
          <w:szCs w:val="24"/>
        </w:rPr>
        <w:t xml:space="preserve">, „Dobry </w:t>
      </w:r>
      <w:proofErr w:type="gramStart"/>
      <w:r w:rsidR="003B7BFD" w:rsidRPr="00FD7583">
        <w:rPr>
          <w:rFonts w:ascii="Times New Roman" w:hAnsi="Times New Roman" w:cs="Times New Roman"/>
          <w:sz w:val="24"/>
          <w:szCs w:val="24"/>
        </w:rPr>
        <w:t>start”</w:t>
      </w:r>
      <w:r w:rsidR="00334674" w:rsidRPr="00FD758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34674" w:rsidRPr="00FD7583">
        <w:rPr>
          <w:rFonts w:ascii="Times New Roman" w:hAnsi="Times New Roman" w:cs="Times New Roman"/>
          <w:sz w:val="24"/>
          <w:szCs w:val="24"/>
        </w:rPr>
        <w:t xml:space="preserve"> </w:t>
      </w:r>
      <w:r w:rsidR="003B7BFD" w:rsidRPr="00FD7583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FD7583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FD7583">
        <w:rPr>
          <w:rFonts w:ascii="Times New Roman" w:hAnsi="Times New Roman" w:cs="Times New Roman"/>
          <w:sz w:val="24"/>
          <w:szCs w:val="24"/>
        </w:rPr>
        <w:t>.</w:t>
      </w:r>
    </w:p>
    <w:p w14:paraId="654BC482" w14:textId="77777777" w:rsidR="00CB3ECE" w:rsidRPr="00CA2E4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BE925C" w14:textId="77777777" w:rsidR="00CB3ECE" w:rsidRPr="00FD758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7583">
        <w:rPr>
          <w:rFonts w:ascii="Times New Roman" w:hAnsi="Times New Roman" w:cs="Times New Roman"/>
          <w:sz w:val="24"/>
          <w:szCs w:val="24"/>
        </w:rPr>
        <w:t xml:space="preserve">Dochody majątkowe na okres wieloletniej prognozy finansowej oszacowano na podstawie możliwości własnych gminy, pozyskiwania środków zewnętrznych w ramach regionalnych </w:t>
      </w:r>
      <w:r w:rsidRPr="00FD7583">
        <w:rPr>
          <w:rFonts w:ascii="Times New Roman" w:hAnsi="Times New Roman" w:cs="Times New Roman"/>
          <w:sz w:val="24"/>
          <w:szCs w:val="24"/>
        </w:rPr>
        <w:lastRenderedPageBreak/>
        <w:t>programów operacyjnych województwa mazowieckiego i budżetu unii europejskiej oraz 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FD7583">
        <w:rPr>
          <w:rFonts w:ascii="Times New Roman" w:hAnsi="Times New Roman" w:cs="Times New Roman"/>
          <w:sz w:val="24"/>
          <w:szCs w:val="24"/>
        </w:rPr>
        <w:t xml:space="preserve"> </w:t>
      </w:r>
      <w:r w:rsidRPr="00FD7583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14:paraId="780192CF" w14:textId="77777777" w:rsidR="00340D02" w:rsidRPr="00CA2E4A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03CFAE" w14:textId="08B11F85" w:rsidR="00FD7583" w:rsidRPr="00D00CB7" w:rsidRDefault="00CB3ECE" w:rsidP="00D00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Planowana sprzedaż mienia gminnego na kwotę </w:t>
      </w:r>
      <w:r w:rsidR="000069BE" w:rsidRPr="00D00CB7">
        <w:rPr>
          <w:rFonts w:ascii="Times New Roman" w:hAnsi="Times New Roman" w:cs="Times New Roman"/>
          <w:sz w:val="24"/>
          <w:szCs w:val="24"/>
        </w:rPr>
        <w:t>6</w:t>
      </w:r>
      <w:r w:rsidR="0077176E" w:rsidRPr="00D00CB7">
        <w:rPr>
          <w:rFonts w:ascii="Times New Roman" w:hAnsi="Times New Roman" w:cs="Times New Roman"/>
          <w:sz w:val="24"/>
          <w:szCs w:val="24"/>
        </w:rPr>
        <w:t>0</w:t>
      </w:r>
      <w:r w:rsidR="00FD7583" w:rsidRPr="00D00CB7">
        <w:rPr>
          <w:rFonts w:ascii="Times New Roman" w:hAnsi="Times New Roman" w:cs="Times New Roman"/>
          <w:sz w:val="24"/>
          <w:szCs w:val="24"/>
        </w:rPr>
        <w:t>8</w:t>
      </w:r>
      <w:r w:rsidRPr="00D00CB7">
        <w:rPr>
          <w:rFonts w:ascii="Times New Roman" w:hAnsi="Times New Roman" w:cs="Times New Roman"/>
          <w:sz w:val="24"/>
          <w:szCs w:val="24"/>
        </w:rPr>
        <w:t>.</w:t>
      </w:r>
      <w:r w:rsidR="00FD7583" w:rsidRPr="00D00CB7">
        <w:rPr>
          <w:rFonts w:ascii="Times New Roman" w:hAnsi="Times New Roman" w:cs="Times New Roman"/>
          <w:sz w:val="24"/>
          <w:szCs w:val="24"/>
        </w:rPr>
        <w:t>907</w:t>
      </w:r>
      <w:r w:rsidR="0077176E" w:rsidRPr="00D00CB7">
        <w:rPr>
          <w:rFonts w:ascii="Times New Roman" w:hAnsi="Times New Roman" w:cs="Times New Roman"/>
          <w:sz w:val="24"/>
          <w:szCs w:val="24"/>
        </w:rPr>
        <w:t xml:space="preserve"> zł uwzględniona w WPF na </w:t>
      </w:r>
      <w:r w:rsidR="00D72317" w:rsidRPr="00D00CB7">
        <w:rPr>
          <w:rFonts w:ascii="Times New Roman" w:hAnsi="Times New Roman" w:cs="Times New Roman"/>
          <w:sz w:val="24"/>
          <w:szCs w:val="24"/>
        </w:rPr>
        <w:t>20</w:t>
      </w:r>
      <w:r w:rsidR="000069BE" w:rsidRPr="00D00CB7">
        <w:rPr>
          <w:rFonts w:ascii="Times New Roman" w:hAnsi="Times New Roman" w:cs="Times New Roman"/>
          <w:sz w:val="24"/>
          <w:szCs w:val="24"/>
        </w:rPr>
        <w:t>2</w:t>
      </w:r>
      <w:r w:rsidR="00F06A45" w:rsidRPr="00D00CB7">
        <w:rPr>
          <w:rFonts w:ascii="Times New Roman" w:hAnsi="Times New Roman" w:cs="Times New Roman"/>
          <w:sz w:val="24"/>
          <w:szCs w:val="24"/>
        </w:rPr>
        <w:t>1</w:t>
      </w:r>
      <w:r w:rsidRPr="00D00CB7">
        <w:rPr>
          <w:rFonts w:ascii="Times New Roman" w:hAnsi="Times New Roman" w:cs="Times New Roman"/>
          <w:sz w:val="24"/>
          <w:szCs w:val="24"/>
        </w:rPr>
        <w:t>r. obejmuje:</w:t>
      </w:r>
    </w:p>
    <w:p w14:paraId="1F5345D2" w14:textId="450883A2" w:rsidR="00F06A45" w:rsidRPr="00D00CB7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wpływy ze sprzedaży 2 lokali mieszkalnych dotychczasowym najemcom – 100.000 zł</w:t>
      </w:r>
      <w:r w:rsidR="00D00CB7" w:rsidRPr="00D00CB7">
        <w:rPr>
          <w:rFonts w:ascii="Times New Roman" w:hAnsi="Times New Roman" w:cs="Times New Roman"/>
          <w:sz w:val="24"/>
          <w:szCs w:val="24"/>
        </w:rPr>
        <w:t>,</w:t>
      </w:r>
    </w:p>
    <w:p w14:paraId="01926D01" w14:textId="5D312702" w:rsidR="00011E36" w:rsidRPr="00D00CB7" w:rsidRDefault="00011E36" w:rsidP="00D00CB7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410099"/>
      <w:r w:rsidRPr="00D00CB7">
        <w:rPr>
          <w:rFonts w:ascii="Times New Roman" w:hAnsi="Times New Roman" w:cs="Times New Roman"/>
          <w:sz w:val="24"/>
          <w:szCs w:val="24"/>
        </w:rPr>
        <w:t>wpływy z tytułu sprzedaży składników mienia ruchomego</w:t>
      </w:r>
      <w:bookmarkEnd w:id="0"/>
      <w:r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Pr="00D00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D00CB7" w:rsidRPr="00D00CB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0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0CB7" w:rsidRPr="00D00CB7">
        <w:rPr>
          <w:rFonts w:ascii="Times New Roman" w:eastAsia="Times New Roman" w:hAnsi="Times New Roman" w:cs="Times New Roman"/>
          <w:sz w:val="24"/>
          <w:szCs w:val="24"/>
          <w:lang w:eastAsia="pl-PL"/>
        </w:rPr>
        <w:t>907</w:t>
      </w:r>
      <w:r w:rsidRPr="00D00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D00CB7" w:rsidRPr="00D00C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AA4E26" w14:textId="77777777" w:rsidR="00F06A45" w:rsidRPr="00D00CB7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 wpływy ze sprzedaży gruntów w wysokości 500.000 zł, w tym: </w:t>
      </w:r>
    </w:p>
    <w:p w14:paraId="1884DEE0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działka nr 137/2 o pow. 0,1097 ha </w:t>
      </w:r>
      <w:proofErr w:type="spellStart"/>
      <w:r w:rsidRPr="00D00CB7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D00CB7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D00CB7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D00CB7">
        <w:rPr>
          <w:rFonts w:ascii="Times New Roman" w:hAnsi="Times New Roman" w:cs="Times New Roman"/>
          <w:sz w:val="24"/>
          <w:szCs w:val="24"/>
        </w:rPr>
        <w:t>,</w:t>
      </w:r>
    </w:p>
    <w:p w14:paraId="3C66ED66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D00CB7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D00CB7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D00CB7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D00CB7">
        <w:rPr>
          <w:rFonts w:ascii="Times New Roman" w:hAnsi="Times New Roman" w:cs="Times New Roman"/>
          <w:sz w:val="24"/>
          <w:szCs w:val="24"/>
        </w:rPr>
        <w:t>,</w:t>
      </w:r>
    </w:p>
    <w:p w14:paraId="53AE3A78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D00CB7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D00CB7">
        <w:rPr>
          <w:rFonts w:ascii="Times New Roman" w:hAnsi="Times New Roman" w:cs="Times New Roman"/>
          <w:sz w:val="24"/>
          <w:szCs w:val="24"/>
        </w:rPr>
        <w:t xml:space="preserve">. Skubianka,       </w:t>
      </w:r>
    </w:p>
    <w:p w14:paraId="5E05F452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działka nr 166/1 o pow. 0,0851 ha </w:t>
      </w:r>
      <w:proofErr w:type="spellStart"/>
      <w:r w:rsidRPr="00D00CB7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D00CB7">
        <w:rPr>
          <w:rFonts w:ascii="Times New Roman" w:hAnsi="Times New Roman" w:cs="Times New Roman"/>
          <w:sz w:val="24"/>
          <w:szCs w:val="24"/>
        </w:rPr>
        <w:t>. Wierzbica,</w:t>
      </w:r>
      <w:r w:rsidRPr="00D00CB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7AC8C1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działka nr 166/2 o pow. 0,1088 ha </w:t>
      </w:r>
      <w:proofErr w:type="spellStart"/>
      <w:r w:rsidRPr="00D00CB7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D00CB7">
        <w:rPr>
          <w:rFonts w:ascii="Times New Roman" w:hAnsi="Times New Roman" w:cs="Times New Roman"/>
          <w:sz w:val="24"/>
          <w:szCs w:val="24"/>
        </w:rPr>
        <w:t>. Wierzbica,</w:t>
      </w:r>
      <w:r w:rsidRPr="00D00CB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45B38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działka nr 166/5 o pow. 0,0847 ha </w:t>
      </w:r>
      <w:proofErr w:type="spellStart"/>
      <w:r w:rsidRPr="00D00CB7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D00CB7">
        <w:rPr>
          <w:rFonts w:ascii="Times New Roman" w:hAnsi="Times New Roman" w:cs="Times New Roman"/>
          <w:sz w:val="24"/>
          <w:szCs w:val="24"/>
        </w:rPr>
        <w:t xml:space="preserve">. Wierzbica,      </w:t>
      </w:r>
    </w:p>
    <w:p w14:paraId="74DC5BA4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działka nr 166/6 o pow. 0,1000 ha </w:t>
      </w:r>
      <w:proofErr w:type="spellStart"/>
      <w:r w:rsidRPr="00D00CB7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D00CB7">
        <w:rPr>
          <w:rFonts w:ascii="Times New Roman" w:hAnsi="Times New Roman" w:cs="Times New Roman"/>
          <w:sz w:val="24"/>
          <w:szCs w:val="24"/>
        </w:rPr>
        <w:t xml:space="preserve">. Wierzbica,     </w:t>
      </w:r>
    </w:p>
    <w:p w14:paraId="44B49CC9" w14:textId="77777777" w:rsidR="00F06A45" w:rsidRPr="00D00CB7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działka nr 166/7 o pow. 0,0943 ha </w:t>
      </w:r>
      <w:proofErr w:type="spellStart"/>
      <w:r w:rsidRPr="00D00CB7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D00CB7">
        <w:rPr>
          <w:rFonts w:ascii="Times New Roman" w:hAnsi="Times New Roman" w:cs="Times New Roman"/>
          <w:sz w:val="24"/>
          <w:szCs w:val="24"/>
        </w:rPr>
        <w:t>. Wierzbica.</w:t>
      </w:r>
    </w:p>
    <w:p w14:paraId="090FCC87" w14:textId="1392CD3B" w:rsidR="00F06A45" w:rsidRPr="00D00CB7" w:rsidRDefault="00F06A45" w:rsidP="00F06A45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667.000 zł.</w:t>
      </w:r>
    </w:p>
    <w:p w14:paraId="3C3A14C8" w14:textId="77777777" w:rsidR="000069BE" w:rsidRPr="00D00CB7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3C1FCA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CB7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14:paraId="6C9C47C5" w14:textId="77777777" w:rsidR="00CB3ECE" w:rsidRPr="00CA2E4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7A4408" w14:textId="569261E4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4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00CB7">
        <w:rPr>
          <w:rFonts w:ascii="Times New Roman" w:hAnsi="Times New Roman" w:cs="Times New Roman"/>
          <w:sz w:val="24"/>
          <w:szCs w:val="24"/>
        </w:rPr>
        <w:t xml:space="preserve">Planowane wielkości wydatków na rok </w:t>
      </w:r>
      <w:r w:rsidR="00D72317" w:rsidRPr="00D00CB7">
        <w:rPr>
          <w:rFonts w:ascii="Times New Roman" w:hAnsi="Times New Roman" w:cs="Times New Roman"/>
          <w:sz w:val="24"/>
          <w:szCs w:val="24"/>
        </w:rPr>
        <w:t>20</w:t>
      </w:r>
      <w:r w:rsidR="000069BE" w:rsidRPr="00D00CB7">
        <w:rPr>
          <w:rFonts w:ascii="Times New Roman" w:hAnsi="Times New Roman" w:cs="Times New Roman"/>
          <w:sz w:val="24"/>
          <w:szCs w:val="24"/>
        </w:rPr>
        <w:t>2</w:t>
      </w:r>
      <w:r w:rsidR="00F06A45" w:rsidRPr="00D00CB7">
        <w:rPr>
          <w:rFonts w:ascii="Times New Roman" w:hAnsi="Times New Roman" w:cs="Times New Roman"/>
          <w:sz w:val="24"/>
          <w:szCs w:val="24"/>
        </w:rPr>
        <w:t>1</w:t>
      </w:r>
      <w:r w:rsidRPr="00D00CB7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D00C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00CB7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14:paraId="6790BD4C" w14:textId="77777777" w:rsidR="00854B89" w:rsidRPr="00D00CB7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D00CB7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D00CB7">
        <w:rPr>
          <w:rFonts w:ascii="Times New Roman" w:hAnsi="Times New Roman" w:cs="Times New Roman"/>
          <w:sz w:val="24"/>
          <w:szCs w:val="24"/>
        </w:rPr>
        <w:t>z przepisów</w:t>
      </w:r>
      <w:r w:rsidRPr="00D00CB7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D00CB7">
        <w:rPr>
          <w:rFonts w:ascii="Times New Roman" w:hAnsi="Times New Roman" w:cs="Times New Roman"/>
          <w:sz w:val="24"/>
          <w:szCs w:val="24"/>
        </w:rPr>
        <w:t>.</w:t>
      </w:r>
    </w:p>
    <w:p w14:paraId="36BAF702" w14:textId="77777777" w:rsidR="00854B89" w:rsidRPr="00D00CB7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14:paraId="3DA2DEDE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D00CB7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14:paraId="2C4CCE01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7D0A9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14:paraId="0A5CA423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183CC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C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Wydatki na obsługę długu </w:t>
      </w:r>
    </w:p>
    <w:p w14:paraId="7DF9DB9C" w14:textId="77777777" w:rsidR="00CB3ECE" w:rsidRPr="00CA2E4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6AD9D8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4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00CB7">
        <w:rPr>
          <w:rFonts w:ascii="Times New Roman" w:hAnsi="Times New Roman" w:cs="Times New Roman"/>
          <w:sz w:val="24"/>
          <w:szCs w:val="24"/>
        </w:rPr>
        <w:t xml:space="preserve">Wydatki na obsługę długu zaplanowano zgodnie z oprocentowaniem wynikającym </w:t>
      </w:r>
      <w:r w:rsidR="00340D02" w:rsidRPr="00D00C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00CB7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obligacji komunalnych gminy w latach poprzednich. </w:t>
      </w:r>
    </w:p>
    <w:p w14:paraId="1F341C25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14:paraId="2D2887D7" w14:textId="5296C49C" w:rsidR="00CB3ECE" w:rsidRPr="00CA2E4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2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01715B" w14:textId="3B66A459" w:rsidR="00BE0C23" w:rsidRPr="00CA2E4A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BBC092" w14:textId="77777777" w:rsidR="00BE0C23" w:rsidRPr="00CA2E4A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F01921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CB7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</w:t>
      </w:r>
    </w:p>
    <w:p w14:paraId="4400A82E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FE2CE" w14:textId="2C8CDE5F" w:rsidR="00BE0C23" w:rsidRPr="00D00CB7" w:rsidRDefault="00CB3ECE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ab/>
      </w:r>
      <w:r w:rsidR="00BE0C23" w:rsidRPr="00D00CB7">
        <w:rPr>
          <w:rFonts w:ascii="Times New Roman" w:hAnsi="Times New Roman" w:cs="Times New Roman"/>
          <w:sz w:val="24"/>
          <w:szCs w:val="24"/>
        </w:rPr>
        <w:t>W roku 202</w:t>
      </w:r>
      <w:r w:rsidR="009C5BFF" w:rsidRPr="00D00CB7">
        <w:rPr>
          <w:rFonts w:ascii="Times New Roman" w:hAnsi="Times New Roman" w:cs="Times New Roman"/>
          <w:sz w:val="24"/>
          <w:szCs w:val="24"/>
        </w:rPr>
        <w:t>1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 planuje się wpływy z tytułu emisji obligacji komunalnych w wysokości </w:t>
      </w:r>
      <w:r w:rsidR="005C7A85" w:rsidRPr="00D00CB7">
        <w:rPr>
          <w:rFonts w:ascii="Times New Roman" w:hAnsi="Times New Roman" w:cs="Times New Roman"/>
          <w:sz w:val="24"/>
          <w:szCs w:val="24"/>
        </w:rPr>
        <w:t>6</w:t>
      </w:r>
      <w:r w:rsidR="009C5BFF" w:rsidRPr="00D00CB7">
        <w:rPr>
          <w:rFonts w:ascii="Times New Roman" w:hAnsi="Times New Roman" w:cs="Times New Roman"/>
          <w:sz w:val="24"/>
          <w:szCs w:val="24"/>
        </w:rPr>
        <w:t>.</w:t>
      </w:r>
      <w:r w:rsidR="005C7A85" w:rsidRPr="00D00CB7">
        <w:rPr>
          <w:rFonts w:ascii="Times New Roman" w:hAnsi="Times New Roman" w:cs="Times New Roman"/>
          <w:sz w:val="24"/>
          <w:szCs w:val="24"/>
        </w:rPr>
        <w:t>885</w:t>
      </w:r>
      <w:r w:rsidR="009C5BFF" w:rsidRPr="00D00CB7">
        <w:rPr>
          <w:rFonts w:ascii="Times New Roman" w:hAnsi="Times New Roman" w:cs="Times New Roman"/>
          <w:sz w:val="24"/>
          <w:szCs w:val="24"/>
        </w:rPr>
        <w:t>.</w:t>
      </w:r>
      <w:r w:rsidR="005C7A85" w:rsidRPr="00D00CB7">
        <w:rPr>
          <w:rFonts w:ascii="Times New Roman" w:hAnsi="Times New Roman" w:cs="Times New Roman"/>
          <w:sz w:val="24"/>
          <w:szCs w:val="24"/>
        </w:rPr>
        <w:t>350</w:t>
      </w:r>
      <w:r w:rsidR="009C5BFF"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zł i pożyczek w wysokości </w:t>
      </w:r>
      <w:r w:rsidR="005C7A85" w:rsidRPr="00D00CB7">
        <w:rPr>
          <w:rFonts w:ascii="Times New Roman" w:hAnsi="Times New Roman" w:cs="Times New Roman"/>
          <w:sz w:val="24"/>
          <w:szCs w:val="24"/>
        </w:rPr>
        <w:t>3</w:t>
      </w:r>
      <w:r w:rsidR="009C5BFF" w:rsidRPr="00D00CB7">
        <w:rPr>
          <w:rFonts w:ascii="Times New Roman" w:hAnsi="Times New Roman" w:cs="Times New Roman"/>
          <w:sz w:val="24"/>
          <w:szCs w:val="24"/>
        </w:rPr>
        <w:t>.</w:t>
      </w:r>
      <w:r w:rsidR="005C7A85" w:rsidRPr="00D00CB7">
        <w:rPr>
          <w:rFonts w:ascii="Times New Roman" w:hAnsi="Times New Roman" w:cs="Times New Roman"/>
          <w:sz w:val="24"/>
          <w:szCs w:val="24"/>
        </w:rPr>
        <w:t>114</w:t>
      </w:r>
      <w:r w:rsidR="009C5BFF" w:rsidRPr="00D00CB7">
        <w:rPr>
          <w:rFonts w:ascii="Times New Roman" w:hAnsi="Times New Roman" w:cs="Times New Roman"/>
          <w:sz w:val="24"/>
          <w:szCs w:val="24"/>
        </w:rPr>
        <w:t>.</w:t>
      </w:r>
      <w:r w:rsidR="005C7A85" w:rsidRPr="00D00CB7">
        <w:rPr>
          <w:rFonts w:ascii="Times New Roman" w:hAnsi="Times New Roman" w:cs="Times New Roman"/>
          <w:sz w:val="24"/>
          <w:szCs w:val="24"/>
        </w:rPr>
        <w:t>650</w:t>
      </w:r>
      <w:r w:rsidR="009C5BFF"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zł oraz zaangażowanie środków w łącznej wysokości </w:t>
      </w:r>
      <w:r w:rsidR="005E2C1A" w:rsidRPr="004543DE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BE0C23" w:rsidRPr="004543D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543DE" w:rsidRPr="004543D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E2C1A" w:rsidRPr="004543DE"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="00BE0C23" w:rsidRPr="004543D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E2C1A" w:rsidRPr="004543DE">
        <w:rPr>
          <w:rFonts w:ascii="Times New Roman" w:hAnsi="Times New Roman" w:cs="Times New Roman"/>
          <w:color w:val="FF0000"/>
          <w:sz w:val="24"/>
          <w:szCs w:val="24"/>
        </w:rPr>
        <w:t>257,12</w:t>
      </w:r>
      <w:r w:rsidR="00BE0C23" w:rsidRPr="004543DE">
        <w:rPr>
          <w:rFonts w:ascii="Times New Roman" w:hAnsi="Times New Roman" w:cs="Times New Roman"/>
          <w:color w:val="FF0000"/>
          <w:sz w:val="24"/>
          <w:szCs w:val="24"/>
        </w:rPr>
        <w:t xml:space="preserve"> zł </w:t>
      </w:r>
      <w:r w:rsidR="00BE0C23" w:rsidRPr="00D00CB7">
        <w:rPr>
          <w:rFonts w:ascii="Times New Roman" w:hAnsi="Times New Roman" w:cs="Times New Roman"/>
          <w:sz w:val="24"/>
          <w:szCs w:val="24"/>
        </w:rPr>
        <w:t>stanowiące</w:t>
      </w:r>
      <w:r w:rsidR="005C7A85" w:rsidRPr="00D00CB7">
        <w:rPr>
          <w:rFonts w:ascii="Times New Roman" w:hAnsi="Times New Roman" w:cs="Times New Roman"/>
          <w:sz w:val="24"/>
          <w:szCs w:val="24"/>
        </w:rPr>
        <w:t>:</w:t>
      </w:r>
    </w:p>
    <w:p w14:paraId="4BBCAE56" w14:textId="164B13A5" w:rsidR="00BE0C23" w:rsidRPr="00D00CB7" w:rsidRDefault="005C7A85" w:rsidP="00BE0C23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wolne </w:t>
      </w:r>
      <w:proofErr w:type="gramStart"/>
      <w:r w:rsidRPr="00D00CB7">
        <w:rPr>
          <w:rFonts w:ascii="Times New Roman" w:hAnsi="Times New Roman" w:cs="Times New Roman"/>
          <w:sz w:val="24"/>
          <w:szCs w:val="24"/>
        </w:rPr>
        <w:t>środki,</w:t>
      </w:r>
      <w:proofErr w:type="gramEnd"/>
      <w:r w:rsidRPr="00D00CB7">
        <w:rPr>
          <w:rFonts w:ascii="Times New Roman" w:hAnsi="Times New Roman" w:cs="Times New Roman"/>
          <w:sz w:val="24"/>
          <w:szCs w:val="24"/>
        </w:rPr>
        <w:t xml:space="preserve"> jako nadwyżka środków pieniężnych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 na rachunku bieżącym budżetu gminy, wynikając</w:t>
      </w:r>
      <w:r w:rsidRPr="00D00CB7">
        <w:rPr>
          <w:rFonts w:ascii="Times New Roman" w:hAnsi="Times New Roman" w:cs="Times New Roman"/>
          <w:sz w:val="24"/>
          <w:szCs w:val="24"/>
        </w:rPr>
        <w:t>e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 z rozliczeń wyemitowanych papierów wartościowych, kredytów i pożyczek </w:t>
      </w:r>
      <w:r w:rsidR="005E2C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0C23" w:rsidRPr="00D00CB7">
        <w:rPr>
          <w:rFonts w:ascii="Times New Roman" w:hAnsi="Times New Roman" w:cs="Times New Roman"/>
          <w:sz w:val="24"/>
          <w:szCs w:val="24"/>
        </w:rPr>
        <w:t>z lat ubiegłych</w:t>
      </w:r>
      <w:r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5E2C1A" w:rsidRPr="004543DE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BE0C23" w:rsidRPr="004543D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543DE" w:rsidRPr="004543DE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5E2C1A" w:rsidRPr="004543DE">
        <w:rPr>
          <w:rFonts w:ascii="Times New Roman" w:hAnsi="Times New Roman" w:cs="Times New Roman"/>
          <w:color w:val="FF0000"/>
          <w:sz w:val="24"/>
          <w:szCs w:val="24"/>
        </w:rPr>
        <w:t>81</w:t>
      </w:r>
      <w:r w:rsidR="00BE0C23" w:rsidRPr="004543D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E2C1A" w:rsidRPr="004543DE">
        <w:rPr>
          <w:rFonts w:ascii="Times New Roman" w:hAnsi="Times New Roman" w:cs="Times New Roman"/>
          <w:color w:val="FF0000"/>
          <w:sz w:val="24"/>
          <w:szCs w:val="24"/>
        </w:rPr>
        <w:t>112,19</w:t>
      </w:r>
      <w:r w:rsidR="00BE0C23" w:rsidRPr="004543DE">
        <w:rPr>
          <w:rFonts w:ascii="Times New Roman" w:hAnsi="Times New Roman" w:cs="Times New Roman"/>
          <w:color w:val="FF0000"/>
          <w:sz w:val="24"/>
          <w:szCs w:val="24"/>
        </w:rPr>
        <w:t xml:space="preserve"> zł,</w:t>
      </w:r>
    </w:p>
    <w:p w14:paraId="280033CF" w14:textId="6A66CF2D" w:rsidR="005C7A85" w:rsidRPr="00D00CB7" w:rsidRDefault="00BE0C23" w:rsidP="009C5BFF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260981"/>
      <w:r w:rsidRPr="00D00CB7">
        <w:rPr>
          <w:rFonts w:ascii="Times New Roman" w:hAnsi="Times New Roman" w:cs="Times New Roman"/>
          <w:sz w:val="24"/>
          <w:szCs w:val="24"/>
        </w:rPr>
        <w:t>niewykorzystan</w:t>
      </w:r>
      <w:r w:rsidR="005C7A85" w:rsidRPr="00D00CB7">
        <w:rPr>
          <w:rFonts w:ascii="Times New Roman" w:hAnsi="Times New Roman" w:cs="Times New Roman"/>
          <w:sz w:val="24"/>
          <w:szCs w:val="24"/>
        </w:rPr>
        <w:t>e</w:t>
      </w:r>
      <w:r w:rsidRPr="00D00CB7">
        <w:rPr>
          <w:rFonts w:ascii="Times New Roman" w:hAnsi="Times New Roman" w:cs="Times New Roman"/>
          <w:sz w:val="24"/>
          <w:szCs w:val="24"/>
        </w:rPr>
        <w:t xml:space="preserve"> środk</w:t>
      </w:r>
      <w:r w:rsidR="005C7A85" w:rsidRPr="00D00CB7">
        <w:rPr>
          <w:rFonts w:ascii="Times New Roman" w:hAnsi="Times New Roman" w:cs="Times New Roman"/>
          <w:sz w:val="24"/>
          <w:szCs w:val="24"/>
        </w:rPr>
        <w:t>i</w:t>
      </w:r>
      <w:r w:rsidRPr="00D00CB7">
        <w:rPr>
          <w:rFonts w:ascii="Times New Roman" w:hAnsi="Times New Roman" w:cs="Times New Roman"/>
          <w:sz w:val="24"/>
          <w:szCs w:val="24"/>
        </w:rPr>
        <w:t xml:space="preserve"> pieniężn</w:t>
      </w:r>
      <w:r w:rsidR="005C7A85" w:rsidRPr="00D00CB7">
        <w:rPr>
          <w:rFonts w:ascii="Times New Roman" w:hAnsi="Times New Roman" w:cs="Times New Roman"/>
          <w:sz w:val="24"/>
          <w:szCs w:val="24"/>
        </w:rPr>
        <w:t>e</w:t>
      </w:r>
      <w:r w:rsidRPr="00D00CB7">
        <w:rPr>
          <w:rFonts w:ascii="Times New Roman" w:hAnsi="Times New Roman" w:cs="Times New Roman"/>
          <w:sz w:val="24"/>
          <w:szCs w:val="24"/>
        </w:rPr>
        <w:t xml:space="preserve"> na rachunku bieżącym budżetu gminy, wynikając</w:t>
      </w:r>
      <w:r w:rsidR="005C7A85" w:rsidRPr="00D00CB7">
        <w:rPr>
          <w:rFonts w:ascii="Times New Roman" w:hAnsi="Times New Roman" w:cs="Times New Roman"/>
          <w:sz w:val="24"/>
          <w:szCs w:val="24"/>
        </w:rPr>
        <w:t>e</w:t>
      </w:r>
      <w:r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5E2C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0CB7">
        <w:rPr>
          <w:rFonts w:ascii="Times New Roman" w:hAnsi="Times New Roman" w:cs="Times New Roman"/>
          <w:sz w:val="24"/>
          <w:szCs w:val="24"/>
        </w:rPr>
        <w:t xml:space="preserve">z </w:t>
      </w:r>
      <w:bookmarkEnd w:id="1"/>
      <w:r w:rsidRPr="00D00CB7">
        <w:rPr>
          <w:rFonts w:ascii="Times New Roman" w:hAnsi="Times New Roman" w:cs="Times New Roman"/>
          <w:sz w:val="24"/>
          <w:szCs w:val="24"/>
        </w:rPr>
        <w:t xml:space="preserve">rozliczenia dochodów i wydatków nimi finansowanych związanych ze szczególnymi zasadami wykonywania budżetu określonymi w odrębnych ustawach w wysokość </w:t>
      </w:r>
      <w:r w:rsidR="005C7A85" w:rsidRPr="00D00CB7">
        <w:rPr>
          <w:rFonts w:ascii="Times New Roman" w:hAnsi="Times New Roman" w:cs="Times New Roman"/>
          <w:sz w:val="24"/>
          <w:szCs w:val="24"/>
        </w:rPr>
        <w:t>1.013.787,09</w:t>
      </w:r>
      <w:r w:rsidR="009C5BFF"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Pr="00D00CB7">
        <w:rPr>
          <w:rFonts w:ascii="Times New Roman" w:hAnsi="Times New Roman" w:cs="Times New Roman"/>
          <w:sz w:val="24"/>
          <w:szCs w:val="24"/>
        </w:rPr>
        <w:t>zł, na któr</w:t>
      </w:r>
      <w:r w:rsidR="005C7A85" w:rsidRPr="00D00CB7">
        <w:rPr>
          <w:rFonts w:ascii="Times New Roman" w:hAnsi="Times New Roman" w:cs="Times New Roman"/>
          <w:sz w:val="24"/>
          <w:szCs w:val="24"/>
        </w:rPr>
        <w:t>e</w:t>
      </w:r>
      <w:r w:rsidRPr="00D00CB7">
        <w:rPr>
          <w:rFonts w:ascii="Times New Roman" w:hAnsi="Times New Roman" w:cs="Times New Roman"/>
          <w:sz w:val="24"/>
          <w:szCs w:val="24"/>
        </w:rPr>
        <w:t xml:space="preserve"> składa się</w:t>
      </w:r>
      <w:r w:rsidR="005C7A85" w:rsidRPr="00D00CB7">
        <w:rPr>
          <w:rFonts w:ascii="Times New Roman" w:hAnsi="Times New Roman" w:cs="Times New Roman"/>
          <w:sz w:val="24"/>
          <w:szCs w:val="24"/>
        </w:rPr>
        <w:t>:</w:t>
      </w:r>
    </w:p>
    <w:p w14:paraId="4EA74947" w14:textId="12A92B10" w:rsidR="009C5BFF" w:rsidRPr="00D00CB7" w:rsidRDefault="00BE0C23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9C5BFF" w:rsidRPr="00D00CB7">
        <w:rPr>
          <w:rFonts w:ascii="Times New Roman" w:hAnsi="Times New Roman" w:cs="Times New Roman"/>
          <w:sz w:val="24"/>
          <w:szCs w:val="24"/>
        </w:rPr>
        <w:t>ze</w:t>
      </w:r>
      <w:r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9C5BFF" w:rsidRPr="00D00CB7">
        <w:rPr>
          <w:rFonts w:ascii="Times New Roman" w:hAnsi="Times New Roman" w:cs="Times New Roman"/>
          <w:sz w:val="24"/>
          <w:szCs w:val="24"/>
        </w:rPr>
        <w:t xml:space="preserve">środków pochodzących z Rządowego Funduszu Inwestycji Lokalnych, na dofinansowanie realizacji zadania inwestycyjnego pn. „Budowa </w:t>
      </w:r>
      <w:r w:rsidR="005E2C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C5BFF" w:rsidRPr="00D00CB7">
        <w:rPr>
          <w:rFonts w:ascii="Times New Roman" w:hAnsi="Times New Roman" w:cs="Times New Roman"/>
          <w:sz w:val="24"/>
          <w:szCs w:val="24"/>
        </w:rPr>
        <w:t xml:space="preserve">ul. Mickiewicza i ul. Słowackiego w Serocku” oraz „Rewitalizacja placu zabaw </w:t>
      </w:r>
      <w:r w:rsidR="005E2C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5BFF" w:rsidRPr="00D00CB7">
        <w:rPr>
          <w:rFonts w:ascii="Times New Roman" w:hAnsi="Times New Roman" w:cs="Times New Roman"/>
          <w:sz w:val="24"/>
          <w:szCs w:val="24"/>
        </w:rPr>
        <w:t>w Maryninie”</w:t>
      </w:r>
      <w:r w:rsidR="005C7A85" w:rsidRPr="00D00CB7">
        <w:rPr>
          <w:rFonts w:ascii="Times New Roman" w:hAnsi="Times New Roman" w:cs="Times New Roman"/>
          <w:sz w:val="24"/>
          <w:szCs w:val="24"/>
        </w:rPr>
        <w:t xml:space="preserve"> w łącznej wysokości </w:t>
      </w:r>
      <w:r w:rsidR="006510AA" w:rsidRPr="00D00CB7">
        <w:rPr>
          <w:rFonts w:ascii="Times New Roman" w:hAnsi="Times New Roman" w:cs="Times New Roman"/>
          <w:sz w:val="24"/>
          <w:szCs w:val="24"/>
        </w:rPr>
        <w:t>915.827 zł</w:t>
      </w:r>
      <w:r w:rsidR="009C5BFF" w:rsidRPr="00D00CB7">
        <w:rPr>
          <w:rFonts w:ascii="Times New Roman" w:hAnsi="Times New Roman" w:cs="Times New Roman"/>
          <w:sz w:val="24"/>
          <w:szCs w:val="24"/>
        </w:rPr>
        <w:t>,</w:t>
      </w:r>
    </w:p>
    <w:p w14:paraId="7BC87DCB" w14:textId="06633BF2" w:rsidR="00C06578" w:rsidRPr="00D00CB7" w:rsidRDefault="00C06578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/>
          <w:sz w:val="24"/>
          <w:szCs w:val="24"/>
        </w:rPr>
        <w:t>rozliczenie dochodów z tytułu wydawania zezwoleń na sprzedaż napojów alkoholowych oraz wydatków na realizację zadań określonych w gminnym programie profilaktyki i rozwiązywania problemów alkoholowych - kwota 97.952,61 zł,</w:t>
      </w:r>
    </w:p>
    <w:p w14:paraId="374DCD0B" w14:textId="06823C40" w:rsidR="006510AA" w:rsidRPr="00D00CB7" w:rsidRDefault="000503D2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0CB7">
        <w:rPr>
          <w:rFonts w:ascii="Times New Roman" w:hAnsi="Times New Roman"/>
          <w:sz w:val="24"/>
          <w:szCs w:val="24"/>
        </w:rPr>
        <w:t>rozliczenie dochodów związanych z gromadzeniem środków z opłat produktowych - kwota 7,48 zł,</w:t>
      </w:r>
    </w:p>
    <w:p w14:paraId="1ABB498B" w14:textId="24E19647" w:rsidR="00BE0C23" w:rsidRPr="00D00CB7" w:rsidRDefault="00434213" w:rsidP="009C5BFF">
      <w:pPr>
        <w:pStyle w:val="Akapitzlist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niewykorzystane środki pieniężne na rachunku bieżącym budżetu gminy, wynikające </w:t>
      </w:r>
      <w:r w:rsidR="005E2C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00CB7">
        <w:rPr>
          <w:rFonts w:ascii="Times New Roman" w:hAnsi="Times New Roman" w:cs="Times New Roman"/>
          <w:sz w:val="24"/>
          <w:szCs w:val="24"/>
        </w:rPr>
        <w:t xml:space="preserve">z 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rozliczenia środków określonych w art. 5 ust. 1 pkt 2 ustawy i dotacji na realizację programu, projektu lub zadania finansowanego z udziałem tych środków w wysokości </w:t>
      </w:r>
      <w:r w:rsidR="009C5BFF" w:rsidRPr="00D00CB7">
        <w:rPr>
          <w:rFonts w:ascii="Times New Roman" w:hAnsi="Times New Roman" w:cs="Times New Roman"/>
          <w:sz w:val="24"/>
          <w:szCs w:val="24"/>
        </w:rPr>
        <w:t>628</w:t>
      </w:r>
      <w:r w:rsidR="00BE0C23" w:rsidRPr="00D00CB7">
        <w:rPr>
          <w:rFonts w:ascii="Times New Roman" w:hAnsi="Times New Roman" w:cs="Times New Roman"/>
          <w:sz w:val="24"/>
          <w:szCs w:val="24"/>
        </w:rPr>
        <w:t>.</w:t>
      </w:r>
      <w:r w:rsidR="009C5BFF" w:rsidRPr="00D00CB7">
        <w:rPr>
          <w:rFonts w:ascii="Times New Roman" w:hAnsi="Times New Roman" w:cs="Times New Roman"/>
          <w:sz w:val="24"/>
          <w:szCs w:val="24"/>
        </w:rPr>
        <w:t>357,84</w:t>
      </w:r>
      <w:r w:rsidR="00BE0C23" w:rsidRPr="00D00CB7">
        <w:rPr>
          <w:rFonts w:ascii="Times New Roman" w:hAnsi="Times New Roman" w:cs="Times New Roman"/>
          <w:sz w:val="24"/>
          <w:szCs w:val="24"/>
        </w:rPr>
        <w:t xml:space="preserve"> zł, na którą składają się n/w projekty:</w:t>
      </w:r>
    </w:p>
    <w:p w14:paraId="1E01203B" w14:textId="41266E9D" w:rsidR="00BE0C23" w:rsidRPr="00D00CB7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Kluby Kluczowych Kompetencji – kwota </w:t>
      </w:r>
      <w:r w:rsidR="009C5BFF" w:rsidRPr="00D00CB7">
        <w:rPr>
          <w:rFonts w:ascii="Times New Roman" w:hAnsi="Times New Roman" w:cs="Times New Roman"/>
          <w:sz w:val="24"/>
          <w:szCs w:val="24"/>
        </w:rPr>
        <w:t>336</w:t>
      </w:r>
      <w:r w:rsidRPr="00D00CB7">
        <w:rPr>
          <w:rFonts w:ascii="Times New Roman" w:hAnsi="Times New Roman" w:cs="Times New Roman"/>
          <w:sz w:val="24"/>
          <w:szCs w:val="24"/>
        </w:rPr>
        <w:t>.</w:t>
      </w:r>
      <w:r w:rsidR="009C5BFF" w:rsidRPr="00D00CB7">
        <w:rPr>
          <w:rFonts w:ascii="Times New Roman" w:hAnsi="Times New Roman" w:cs="Times New Roman"/>
          <w:sz w:val="24"/>
          <w:szCs w:val="24"/>
        </w:rPr>
        <w:t>893,54</w:t>
      </w:r>
      <w:r w:rsidRPr="00D00CB7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C3E3CE5" w14:textId="14B026BE" w:rsidR="00BE0C23" w:rsidRPr="00D00CB7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Przyjazny OPS – kwota 2</w:t>
      </w:r>
      <w:r w:rsidR="009C5BFF" w:rsidRPr="00D00CB7">
        <w:rPr>
          <w:rFonts w:ascii="Times New Roman" w:hAnsi="Times New Roman" w:cs="Times New Roman"/>
          <w:sz w:val="24"/>
          <w:szCs w:val="24"/>
        </w:rPr>
        <w:t>3</w:t>
      </w:r>
      <w:r w:rsidRPr="00D00CB7">
        <w:rPr>
          <w:rFonts w:ascii="Times New Roman" w:hAnsi="Times New Roman" w:cs="Times New Roman"/>
          <w:sz w:val="24"/>
          <w:szCs w:val="24"/>
        </w:rPr>
        <w:t>.</w:t>
      </w:r>
      <w:r w:rsidR="009C5BFF" w:rsidRPr="00D00CB7">
        <w:rPr>
          <w:rFonts w:ascii="Times New Roman" w:hAnsi="Times New Roman" w:cs="Times New Roman"/>
          <w:sz w:val="24"/>
          <w:szCs w:val="24"/>
        </w:rPr>
        <w:t>769,90</w:t>
      </w:r>
      <w:r w:rsidRPr="00D00CB7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AB2DF47" w14:textId="748F5300" w:rsidR="00BE0C23" w:rsidRPr="00D00CB7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Kompleksowe Usługi Społeczne – kwota </w:t>
      </w:r>
      <w:r w:rsidR="009C5BFF" w:rsidRPr="00D00CB7">
        <w:rPr>
          <w:rFonts w:ascii="Times New Roman" w:hAnsi="Times New Roman" w:cs="Times New Roman"/>
          <w:sz w:val="24"/>
          <w:szCs w:val="24"/>
        </w:rPr>
        <w:t>267</w:t>
      </w:r>
      <w:r w:rsidRPr="00D00CB7">
        <w:rPr>
          <w:rFonts w:ascii="Times New Roman" w:hAnsi="Times New Roman" w:cs="Times New Roman"/>
          <w:sz w:val="24"/>
          <w:szCs w:val="24"/>
        </w:rPr>
        <w:t>.</w:t>
      </w:r>
      <w:r w:rsidR="009C5BFF" w:rsidRPr="00D00CB7">
        <w:rPr>
          <w:rFonts w:ascii="Times New Roman" w:hAnsi="Times New Roman" w:cs="Times New Roman"/>
          <w:sz w:val="24"/>
          <w:szCs w:val="24"/>
        </w:rPr>
        <w:t>694,40</w:t>
      </w:r>
      <w:r w:rsidRPr="00D00CB7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1ABCE1FD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66673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CB7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14:paraId="510524D1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23400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D00CB7">
        <w:rPr>
          <w:rFonts w:ascii="Times New Roman" w:hAnsi="Times New Roman" w:cs="Times New Roman"/>
          <w:sz w:val="24"/>
          <w:szCs w:val="24"/>
        </w:rPr>
        <w:t>zaciągniętych</w:t>
      </w:r>
      <w:r w:rsidRPr="00D00CB7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14:paraId="4B71C82E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D00C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0CB7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D00CB7">
        <w:rPr>
          <w:rFonts w:ascii="Times New Roman" w:hAnsi="Times New Roman" w:cs="Times New Roman"/>
          <w:sz w:val="24"/>
          <w:szCs w:val="24"/>
        </w:rPr>
        <w:t>ustawy</w:t>
      </w:r>
      <w:r w:rsidRPr="00D00CB7">
        <w:rPr>
          <w:rFonts w:ascii="Times New Roman" w:hAnsi="Times New Roman" w:cs="Times New Roman"/>
          <w:sz w:val="24"/>
          <w:szCs w:val="24"/>
        </w:rPr>
        <w:t xml:space="preserve"> o finansach </w:t>
      </w:r>
      <w:proofErr w:type="gramStart"/>
      <w:r w:rsidRPr="00D00CB7">
        <w:rPr>
          <w:rFonts w:ascii="Times New Roman" w:hAnsi="Times New Roman" w:cs="Times New Roman"/>
          <w:sz w:val="24"/>
          <w:szCs w:val="24"/>
        </w:rPr>
        <w:t>publicznych,</w:t>
      </w:r>
      <w:proofErr w:type="gramEnd"/>
      <w:r w:rsidRPr="00D00CB7">
        <w:rPr>
          <w:rFonts w:ascii="Times New Roman" w:hAnsi="Times New Roman" w:cs="Times New Roman"/>
          <w:sz w:val="24"/>
          <w:szCs w:val="24"/>
        </w:rPr>
        <w:t xml:space="preserve"> jako średnia arytmetyczna obliczona dla ostatnich trzech lat relacji jej dochodów </w:t>
      </w:r>
      <w:r w:rsidR="008C3ED4" w:rsidRPr="00D00CB7">
        <w:rPr>
          <w:rFonts w:ascii="Times New Roman" w:hAnsi="Times New Roman" w:cs="Times New Roman"/>
          <w:sz w:val="24"/>
          <w:szCs w:val="24"/>
        </w:rPr>
        <w:t>bieżących</w:t>
      </w:r>
      <w:r w:rsidRPr="00D00CB7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D00CB7">
        <w:rPr>
          <w:rFonts w:ascii="Times New Roman" w:hAnsi="Times New Roman" w:cs="Times New Roman"/>
          <w:sz w:val="24"/>
          <w:szCs w:val="24"/>
        </w:rPr>
        <w:t>majątku</w:t>
      </w:r>
      <w:r w:rsidRPr="00D00CB7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wskaźników wyliczanych zgodnie z art. 243 ustawy o finansach publicznych. </w:t>
      </w:r>
    </w:p>
    <w:p w14:paraId="671960EE" w14:textId="4447BAE8" w:rsidR="00CB3ECE" w:rsidRPr="00D00CB7" w:rsidRDefault="00874FF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Zobowiązania z tytułu spłaty rat kredytów, pożyczek oraz wykupu obligacji komunalnych                    w 2021r. zmniejszono o kwotę 74.410,67 zł, z uwagi na niezaciągnięcie planowanej pożyczki w roku 2020 z NFOŚiGW. Zobowiązania po zmianie wynoszą </w:t>
      </w:r>
      <w:r w:rsidR="004940A6" w:rsidRPr="00D00CB7">
        <w:rPr>
          <w:rFonts w:ascii="Times New Roman" w:hAnsi="Times New Roman" w:cs="Times New Roman"/>
          <w:sz w:val="24"/>
          <w:szCs w:val="24"/>
        </w:rPr>
        <w:t>4</w:t>
      </w:r>
      <w:r w:rsidR="00D72317" w:rsidRPr="00D00CB7">
        <w:rPr>
          <w:rFonts w:ascii="Times New Roman" w:hAnsi="Times New Roman" w:cs="Times New Roman"/>
          <w:sz w:val="24"/>
          <w:szCs w:val="24"/>
        </w:rPr>
        <w:t>.</w:t>
      </w:r>
      <w:r w:rsidR="004940A6" w:rsidRPr="00D00CB7">
        <w:rPr>
          <w:rFonts w:ascii="Times New Roman" w:hAnsi="Times New Roman" w:cs="Times New Roman"/>
          <w:sz w:val="24"/>
          <w:szCs w:val="24"/>
        </w:rPr>
        <w:t>1</w:t>
      </w:r>
      <w:r w:rsidR="00434213" w:rsidRPr="00D00CB7">
        <w:rPr>
          <w:rFonts w:ascii="Times New Roman" w:hAnsi="Times New Roman" w:cs="Times New Roman"/>
          <w:sz w:val="24"/>
          <w:szCs w:val="24"/>
        </w:rPr>
        <w:t>27</w:t>
      </w:r>
      <w:r w:rsidR="008C3ED4" w:rsidRPr="00D00CB7">
        <w:rPr>
          <w:rFonts w:ascii="Times New Roman" w:hAnsi="Times New Roman" w:cs="Times New Roman"/>
          <w:sz w:val="24"/>
          <w:szCs w:val="24"/>
        </w:rPr>
        <w:t>.</w:t>
      </w:r>
      <w:r w:rsidR="00434213" w:rsidRPr="00D00CB7">
        <w:rPr>
          <w:rFonts w:ascii="Times New Roman" w:hAnsi="Times New Roman" w:cs="Times New Roman"/>
          <w:sz w:val="24"/>
          <w:szCs w:val="24"/>
        </w:rPr>
        <w:t>186,45</w:t>
      </w:r>
      <w:r w:rsidR="008C3ED4"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CB3ECE" w:rsidRPr="00D00CB7">
        <w:rPr>
          <w:rFonts w:ascii="Times New Roman" w:hAnsi="Times New Roman" w:cs="Times New Roman"/>
          <w:sz w:val="24"/>
          <w:szCs w:val="24"/>
        </w:rPr>
        <w:t>zł i dotyczą:</w:t>
      </w:r>
    </w:p>
    <w:p w14:paraId="53A86A98" w14:textId="0A897E73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D00CB7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D00CB7">
        <w:rPr>
          <w:rFonts w:ascii="Times New Roman" w:hAnsi="Times New Roman" w:cs="Times New Roman"/>
          <w:sz w:val="24"/>
          <w:szCs w:val="24"/>
        </w:rPr>
        <w:t>–</w:t>
      </w:r>
      <w:r w:rsidR="00934ECC"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4940A6" w:rsidRPr="00D00CB7">
        <w:rPr>
          <w:rFonts w:ascii="Times New Roman" w:hAnsi="Times New Roman" w:cs="Times New Roman"/>
          <w:sz w:val="24"/>
          <w:szCs w:val="24"/>
        </w:rPr>
        <w:t>33</w:t>
      </w:r>
      <w:r w:rsidR="000069BE" w:rsidRPr="00D00CB7">
        <w:rPr>
          <w:rFonts w:ascii="Times New Roman" w:hAnsi="Times New Roman" w:cs="Times New Roman"/>
          <w:sz w:val="24"/>
          <w:szCs w:val="24"/>
        </w:rPr>
        <w:t>.</w:t>
      </w:r>
      <w:r w:rsidR="004940A6" w:rsidRPr="00D00CB7">
        <w:rPr>
          <w:rFonts w:ascii="Times New Roman" w:hAnsi="Times New Roman" w:cs="Times New Roman"/>
          <w:sz w:val="24"/>
          <w:szCs w:val="24"/>
        </w:rPr>
        <w:t>421,28</w:t>
      </w:r>
      <w:r w:rsidRPr="00D00CB7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F0E24C7" w14:textId="200244DE" w:rsidR="00CB3ECE" w:rsidRPr="00D00CB7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- spłata rat pożyczek </w:t>
      </w:r>
      <w:r w:rsidR="00874FFE" w:rsidRPr="00D00CB7">
        <w:rPr>
          <w:rFonts w:ascii="Times New Roman" w:hAnsi="Times New Roman" w:cs="Times New Roman"/>
          <w:sz w:val="24"/>
          <w:szCs w:val="24"/>
        </w:rPr>
        <w:t>–</w:t>
      </w:r>
      <w:r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4940A6" w:rsidRPr="00D00CB7">
        <w:rPr>
          <w:rFonts w:ascii="Times New Roman" w:hAnsi="Times New Roman" w:cs="Times New Roman"/>
          <w:sz w:val="24"/>
          <w:szCs w:val="24"/>
        </w:rPr>
        <w:t>71</w:t>
      </w:r>
      <w:r w:rsidR="00434213" w:rsidRPr="00D00CB7">
        <w:rPr>
          <w:rFonts w:ascii="Times New Roman" w:hAnsi="Times New Roman" w:cs="Times New Roman"/>
          <w:sz w:val="24"/>
          <w:szCs w:val="24"/>
        </w:rPr>
        <w:t>6</w:t>
      </w:r>
      <w:r w:rsidR="00934ECC" w:rsidRPr="00D00CB7">
        <w:rPr>
          <w:rFonts w:ascii="Times New Roman" w:hAnsi="Times New Roman" w:cs="Times New Roman"/>
          <w:sz w:val="24"/>
          <w:szCs w:val="24"/>
        </w:rPr>
        <w:t>.</w:t>
      </w:r>
      <w:r w:rsidR="004940A6" w:rsidRPr="00D00CB7">
        <w:rPr>
          <w:rFonts w:ascii="Times New Roman" w:hAnsi="Times New Roman" w:cs="Times New Roman"/>
          <w:sz w:val="24"/>
          <w:szCs w:val="24"/>
        </w:rPr>
        <w:t>7</w:t>
      </w:r>
      <w:r w:rsidR="00434213" w:rsidRPr="00D00CB7">
        <w:rPr>
          <w:rFonts w:ascii="Times New Roman" w:hAnsi="Times New Roman" w:cs="Times New Roman"/>
          <w:sz w:val="24"/>
          <w:szCs w:val="24"/>
        </w:rPr>
        <w:t>6</w:t>
      </w:r>
      <w:r w:rsidR="004940A6" w:rsidRPr="00D00CB7">
        <w:rPr>
          <w:rFonts w:ascii="Times New Roman" w:hAnsi="Times New Roman" w:cs="Times New Roman"/>
          <w:sz w:val="24"/>
          <w:szCs w:val="24"/>
        </w:rPr>
        <w:t>5,</w:t>
      </w:r>
      <w:r w:rsidR="00434213" w:rsidRPr="00D00CB7">
        <w:rPr>
          <w:rFonts w:ascii="Times New Roman" w:hAnsi="Times New Roman" w:cs="Times New Roman"/>
          <w:sz w:val="24"/>
          <w:szCs w:val="24"/>
        </w:rPr>
        <w:t>17</w:t>
      </w:r>
      <w:r w:rsidR="00CB3ECE" w:rsidRPr="00D00CB7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CA5E525" w14:textId="176B45DF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- wykup obligacji komunalnych </w:t>
      </w:r>
      <w:r w:rsidR="00874FFE" w:rsidRPr="00D00CB7">
        <w:rPr>
          <w:rFonts w:ascii="Times New Roman" w:hAnsi="Times New Roman" w:cs="Times New Roman"/>
          <w:sz w:val="24"/>
          <w:szCs w:val="24"/>
        </w:rPr>
        <w:t>–</w:t>
      </w:r>
      <w:r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0069BE" w:rsidRPr="00D00CB7">
        <w:rPr>
          <w:rFonts w:ascii="Times New Roman" w:hAnsi="Times New Roman" w:cs="Times New Roman"/>
          <w:sz w:val="24"/>
          <w:szCs w:val="24"/>
        </w:rPr>
        <w:t>3</w:t>
      </w:r>
      <w:r w:rsidRPr="00D00CB7">
        <w:rPr>
          <w:rFonts w:ascii="Times New Roman" w:hAnsi="Times New Roman" w:cs="Times New Roman"/>
          <w:sz w:val="24"/>
          <w:szCs w:val="24"/>
        </w:rPr>
        <w:t>.</w:t>
      </w:r>
      <w:r w:rsidR="000069BE" w:rsidRPr="00D00CB7">
        <w:rPr>
          <w:rFonts w:ascii="Times New Roman" w:hAnsi="Times New Roman" w:cs="Times New Roman"/>
          <w:sz w:val="24"/>
          <w:szCs w:val="24"/>
        </w:rPr>
        <w:t>3</w:t>
      </w:r>
      <w:r w:rsidR="004940A6" w:rsidRPr="00D00CB7">
        <w:rPr>
          <w:rFonts w:ascii="Times New Roman" w:hAnsi="Times New Roman" w:cs="Times New Roman"/>
          <w:sz w:val="24"/>
          <w:szCs w:val="24"/>
        </w:rPr>
        <w:t>77</w:t>
      </w:r>
      <w:r w:rsidRPr="00D00CB7">
        <w:rPr>
          <w:rFonts w:ascii="Times New Roman" w:hAnsi="Times New Roman" w:cs="Times New Roman"/>
          <w:sz w:val="24"/>
          <w:szCs w:val="24"/>
        </w:rPr>
        <w:t>.000 zł.</w:t>
      </w:r>
    </w:p>
    <w:p w14:paraId="4212B76D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CB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Kwota długu Miasta i Gminy Serock</w:t>
      </w:r>
    </w:p>
    <w:p w14:paraId="6313BA52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FC0F2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D00CB7">
        <w:rPr>
          <w:rFonts w:ascii="Times New Roman" w:hAnsi="Times New Roman" w:cs="Times New Roman"/>
          <w:sz w:val="24"/>
          <w:szCs w:val="24"/>
        </w:rPr>
        <w:t>publicznych zawarte</w:t>
      </w:r>
      <w:r w:rsidRPr="00D00CB7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14:paraId="50F9BFA2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D00CB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00CB7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D00CB7">
        <w:rPr>
          <w:rFonts w:ascii="Times New Roman" w:hAnsi="Times New Roman" w:cs="Times New Roman"/>
          <w:sz w:val="24"/>
          <w:szCs w:val="24"/>
        </w:rPr>
        <w:t>zaciągnięty</w:t>
      </w:r>
      <w:r w:rsidRPr="00D00CB7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14:paraId="18397AC7" w14:textId="4ED5099D" w:rsidR="00CB3ECE" w:rsidRPr="00D00CB7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W latach 202</w:t>
      </w:r>
      <w:r w:rsidR="004940A6" w:rsidRPr="00D00CB7">
        <w:rPr>
          <w:rFonts w:ascii="Times New Roman" w:hAnsi="Times New Roman" w:cs="Times New Roman"/>
          <w:sz w:val="24"/>
          <w:szCs w:val="24"/>
        </w:rPr>
        <w:t>6</w:t>
      </w:r>
      <w:r w:rsidR="008C3ED4" w:rsidRPr="00D00CB7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D00CB7">
        <w:rPr>
          <w:rFonts w:ascii="Times New Roman" w:hAnsi="Times New Roman" w:cs="Times New Roman"/>
          <w:sz w:val="24"/>
          <w:szCs w:val="24"/>
        </w:rPr>
        <w:t>3</w:t>
      </w:r>
      <w:r w:rsidR="004940A6" w:rsidRPr="00D00CB7">
        <w:rPr>
          <w:rFonts w:ascii="Times New Roman" w:hAnsi="Times New Roman" w:cs="Times New Roman"/>
          <w:sz w:val="24"/>
          <w:szCs w:val="24"/>
        </w:rPr>
        <w:t>6</w:t>
      </w:r>
      <w:r w:rsidR="00CB3ECE" w:rsidRPr="00D00CB7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D00CB7">
        <w:rPr>
          <w:rFonts w:ascii="Times New Roman" w:hAnsi="Times New Roman" w:cs="Times New Roman"/>
          <w:sz w:val="24"/>
          <w:szCs w:val="24"/>
        </w:rPr>
        <w:t>budżetu</w:t>
      </w:r>
      <w:r w:rsidR="00CB3ECE" w:rsidRPr="00D00CB7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D00CB7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D00CB7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14:paraId="7027DE5C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14:paraId="2C3D8DE4" w14:textId="77777777" w:rsidR="00874FFE" w:rsidRPr="00D00CB7" w:rsidRDefault="00874FFE" w:rsidP="00874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6C544" w14:textId="04275A77" w:rsidR="00874FFE" w:rsidRPr="00D00CB7" w:rsidRDefault="00874FFE" w:rsidP="001B43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ab/>
        <w:t xml:space="preserve">Gmina </w:t>
      </w:r>
      <w:r w:rsidR="001B4328" w:rsidRPr="00D00CB7">
        <w:rPr>
          <w:rFonts w:ascii="Times New Roman" w:hAnsi="Times New Roman" w:cs="Times New Roman"/>
          <w:sz w:val="24"/>
          <w:szCs w:val="24"/>
        </w:rPr>
        <w:t>nie z</w:t>
      </w:r>
      <w:r w:rsidRPr="00D00CB7">
        <w:rPr>
          <w:rFonts w:ascii="Times New Roman" w:hAnsi="Times New Roman" w:cs="Times New Roman"/>
          <w:sz w:val="24"/>
          <w:szCs w:val="24"/>
        </w:rPr>
        <w:t>aciągnę</w:t>
      </w:r>
      <w:r w:rsidR="001B4328" w:rsidRPr="00D00CB7">
        <w:rPr>
          <w:rFonts w:ascii="Times New Roman" w:hAnsi="Times New Roman" w:cs="Times New Roman"/>
          <w:sz w:val="24"/>
          <w:szCs w:val="24"/>
        </w:rPr>
        <w:t>ła</w:t>
      </w:r>
      <w:r w:rsidRPr="00D00CB7">
        <w:rPr>
          <w:rFonts w:ascii="Times New Roman" w:hAnsi="Times New Roman" w:cs="Times New Roman"/>
          <w:sz w:val="24"/>
          <w:szCs w:val="24"/>
        </w:rPr>
        <w:t xml:space="preserve"> pożycz</w:t>
      </w:r>
      <w:r w:rsidR="001B4328" w:rsidRPr="00D00CB7">
        <w:rPr>
          <w:rFonts w:ascii="Times New Roman" w:hAnsi="Times New Roman" w:cs="Times New Roman"/>
          <w:sz w:val="24"/>
          <w:szCs w:val="24"/>
        </w:rPr>
        <w:t>e</w:t>
      </w:r>
      <w:r w:rsidRPr="00D00CB7">
        <w:rPr>
          <w:rFonts w:ascii="Times New Roman" w:hAnsi="Times New Roman" w:cs="Times New Roman"/>
          <w:sz w:val="24"/>
          <w:szCs w:val="24"/>
        </w:rPr>
        <w:t xml:space="preserve">k w </w:t>
      </w:r>
      <w:r w:rsidR="00633670" w:rsidRPr="00D00CB7">
        <w:rPr>
          <w:rFonts w:ascii="Times New Roman" w:hAnsi="Times New Roman" w:cs="Times New Roman"/>
          <w:sz w:val="24"/>
          <w:szCs w:val="24"/>
        </w:rPr>
        <w:t>planowanej pierwotnie</w:t>
      </w:r>
      <w:r w:rsidR="001B4328"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Pr="00D00CB7">
        <w:rPr>
          <w:rFonts w:ascii="Times New Roman" w:hAnsi="Times New Roman" w:cs="Times New Roman"/>
          <w:sz w:val="24"/>
          <w:szCs w:val="24"/>
        </w:rPr>
        <w:t>kwocie</w:t>
      </w:r>
      <w:r w:rsidR="00633670" w:rsidRPr="00D00CB7">
        <w:rPr>
          <w:rFonts w:ascii="Times New Roman" w:hAnsi="Times New Roman" w:cs="Times New Roman"/>
          <w:sz w:val="24"/>
          <w:szCs w:val="24"/>
        </w:rPr>
        <w:t xml:space="preserve">, </w:t>
      </w:r>
      <w:r w:rsidR="001B4328" w:rsidRPr="00D00CB7">
        <w:rPr>
          <w:rFonts w:ascii="Times New Roman" w:hAnsi="Times New Roman" w:cs="Times New Roman"/>
          <w:sz w:val="24"/>
          <w:szCs w:val="24"/>
        </w:rPr>
        <w:t>co</w:t>
      </w:r>
      <w:r w:rsidRPr="00D00CB7">
        <w:rPr>
          <w:rFonts w:ascii="Times New Roman" w:hAnsi="Times New Roman" w:cs="Times New Roman"/>
          <w:sz w:val="24"/>
          <w:szCs w:val="24"/>
        </w:rPr>
        <w:t xml:space="preserve"> </w:t>
      </w:r>
      <w:r w:rsidR="001B4328" w:rsidRPr="00D00CB7">
        <w:rPr>
          <w:rFonts w:ascii="Times New Roman" w:hAnsi="Times New Roman" w:cs="Times New Roman"/>
          <w:sz w:val="24"/>
          <w:szCs w:val="24"/>
        </w:rPr>
        <w:t xml:space="preserve">wpłynęło na zmniejszenie kwoty długu oraz </w:t>
      </w:r>
      <w:r w:rsidRPr="00D00CB7">
        <w:rPr>
          <w:rFonts w:ascii="Times New Roman" w:hAnsi="Times New Roman" w:cs="Times New Roman"/>
          <w:sz w:val="24"/>
          <w:szCs w:val="24"/>
        </w:rPr>
        <w:t>na zmniejszenie rozchodów w poszczególnych latach, zgodnie                                      z załącznikiem nr 1 do niniejszej uchwały oraz kwoty długu, która na koniec 2021r. wynosiłaby 3</w:t>
      </w:r>
      <w:r w:rsidR="00633670" w:rsidRPr="00D00CB7">
        <w:rPr>
          <w:rFonts w:ascii="Times New Roman" w:hAnsi="Times New Roman" w:cs="Times New Roman"/>
          <w:sz w:val="24"/>
          <w:szCs w:val="24"/>
        </w:rPr>
        <w:t>4</w:t>
      </w:r>
      <w:r w:rsidRPr="00D00CB7">
        <w:rPr>
          <w:rFonts w:ascii="Times New Roman" w:hAnsi="Times New Roman" w:cs="Times New Roman"/>
          <w:sz w:val="24"/>
          <w:szCs w:val="24"/>
        </w:rPr>
        <w:t>.</w:t>
      </w:r>
      <w:r w:rsidR="00633670" w:rsidRPr="00D00CB7">
        <w:rPr>
          <w:rFonts w:ascii="Times New Roman" w:hAnsi="Times New Roman" w:cs="Times New Roman"/>
          <w:sz w:val="24"/>
          <w:szCs w:val="24"/>
        </w:rPr>
        <w:t>117.955,35</w:t>
      </w:r>
      <w:r w:rsidRPr="00D00CB7">
        <w:rPr>
          <w:rFonts w:ascii="Times New Roman" w:hAnsi="Times New Roman" w:cs="Times New Roman"/>
          <w:sz w:val="24"/>
          <w:szCs w:val="24"/>
        </w:rPr>
        <w:t xml:space="preserve"> zł. (zmniejszenie o </w:t>
      </w:r>
      <w:r w:rsidR="00633670" w:rsidRPr="00D00CB7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D00CB7">
        <w:rPr>
          <w:rFonts w:ascii="Times New Roman" w:hAnsi="Times New Roman" w:cs="Times New Roman"/>
          <w:sz w:val="24"/>
          <w:szCs w:val="24"/>
        </w:rPr>
        <w:t xml:space="preserve">kwotę </w:t>
      </w:r>
      <w:r w:rsidR="00633670" w:rsidRPr="00D00CB7">
        <w:rPr>
          <w:rFonts w:ascii="Times New Roman" w:hAnsi="Times New Roman" w:cs="Times New Roman"/>
          <w:sz w:val="24"/>
          <w:szCs w:val="24"/>
        </w:rPr>
        <w:t>3</w:t>
      </w:r>
      <w:r w:rsidRPr="00D00CB7">
        <w:rPr>
          <w:rFonts w:ascii="Times New Roman" w:hAnsi="Times New Roman" w:cs="Times New Roman"/>
          <w:sz w:val="24"/>
          <w:szCs w:val="24"/>
        </w:rPr>
        <w:t>.10</w:t>
      </w:r>
      <w:r w:rsidR="00633670" w:rsidRPr="00D00CB7">
        <w:rPr>
          <w:rFonts w:ascii="Times New Roman" w:hAnsi="Times New Roman" w:cs="Times New Roman"/>
          <w:sz w:val="24"/>
          <w:szCs w:val="24"/>
        </w:rPr>
        <w:t>6.103,28</w:t>
      </w:r>
      <w:r w:rsidRPr="00D00CB7">
        <w:rPr>
          <w:rFonts w:ascii="Times New Roman" w:hAnsi="Times New Roman" w:cs="Times New Roman"/>
          <w:sz w:val="24"/>
          <w:szCs w:val="24"/>
        </w:rPr>
        <w:t xml:space="preserve"> zł.).</w:t>
      </w:r>
    </w:p>
    <w:p w14:paraId="448A66DC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6AC08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CB7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14:paraId="2FA295C9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028F" w14:textId="43B07B7A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D00CB7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D00CB7">
        <w:rPr>
          <w:rFonts w:ascii="Times New Roman" w:hAnsi="Times New Roman" w:cs="Times New Roman"/>
          <w:sz w:val="24"/>
          <w:szCs w:val="24"/>
        </w:rPr>
        <w:t>2</w:t>
      </w:r>
      <w:r w:rsidR="0029581A" w:rsidRPr="00D00CB7">
        <w:rPr>
          <w:rFonts w:ascii="Times New Roman" w:hAnsi="Times New Roman" w:cs="Times New Roman"/>
          <w:sz w:val="24"/>
          <w:szCs w:val="24"/>
        </w:rPr>
        <w:t xml:space="preserve"> – 202</w:t>
      </w:r>
      <w:r w:rsidR="004940A6" w:rsidRPr="00D00CB7">
        <w:rPr>
          <w:rFonts w:ascii="Times New Roman" w:hAnsi="Times New Roman" w:cs="Times New Roman"/>
          <w:sz w:val="24"/>
          <w:szCs w:val="24"/>
        </w:rPr>
        <w:t>6</w:t>
      </w:r>
      <w:r w:rsidRPr="00D00CB7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14:paraId="70C3E6D0" w14:textId="77777777" w:rsidR="00CB3ECE" w:rsidRPr="00D00CB7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realizacji przedsięwzięć z poniesionymi wydatkami przed przyjęciem wieloletniej prognozy finansowej i wydatków zakładanych do poniesienia w latach następnych do końca okresu realizacji przedsięwzięć,</w:t>
      </w:r>
    </w:p>
    <w:p w14:paraId="267AA29D" w14:textId="77777777" w:rsidR="00CB3ECE" w:rsidRPr="00D00CB7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14:paraId="49BD2DFC" w14:textId="77777777" w:rsidR="00CB3ECE" w:rsidRPr="00D00CB7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limity zobowiązań.</w:t>
      </w:r>
    </w:p>
    <w:p w14:paraId="799A0B4A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0018F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14:paraId="6C387F2C" w14:textId="77777777" w:rsidR="00CB3ECE" w:rsidRPr="00D00CB7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14:paraId="4E73ABFA" w14:textId="77777777" w:rsidR="00CB3ECE" w:rsidRPr="00D00CB7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14:paraId="46996C5D" w14:textId="77777777" w:rsidR="00CB3ECE" w:rsidRPr="00D00CB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EFDC3" w14:textId="77777777" w:rsidR="00CB3ECE" w:rsidRPr="00D00CB7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ab/>
      </w:r>
      <w:r w:rsidR="00CB3ECE" w:rsidRPr="00D00CB7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D00CB7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D00CB7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14:paraId="33B9CA61" w14:textId="330A4932" w:rsidR="008A44BA" w:rsidRPr="00D00CB7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dowożenie uczniów do szkół</w:t>
      </w:r>
      <w:r w:rsidR="0084108D" w:rsidRPr="00D00CB7">
        <w:rPr>
          <w:rFonts w:ascii="Times New Roman" w:hAnsi="Times New Roman" w:cs="Times New Roman"/>
          <w:sz w:val="24"/>
          <w:szCs w:val="24"/>
        </w:rPr>
        <w:t>,</w:t>
      </w:r>
    </w:p>
    <w:p w14:paraId="2CA6E2C6" w14:textId="2C54F582" w:rsidR="0084108D" w:rsidRPr="00D00CB7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prowadzenia żywienia zbiorowego w szkołach i przedszkolach,</w:t>
      </w:r>
    </w:p>
    <w:p w14:paraId="525B47F1" w14:textId="1B6C8CE7" w:rsidR="00393C44" w:rsidRPr="00D00CB7" w:rsidRDefault="00393C44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opracowanie wstępnego studium </w:t>
      </w:r>
      <w:proofErr w:type="spellStart"/>
      <w:r w:rsidRPr="00D00CB7">
        <w:rPr>
          <w:rFonts w:ascii="Times New Roman" w:hAnsi="Times New Roman" w:cs="Times New Roman"/>
          <w:sz w:val="24"/>
          <w:szCs w:val="24"/>
        </w:rPr>
        <w:t>planistyczo</w:t>
      </w:r>
      <w:proofErr w:type="spellEnd"/>
      <w:r w:rsidRPr="00D00CB7">
        <w:rPr>
          <w:rFonts w:ascii="Times New Roman" w:hAnsi="Times New Roman" w:cs="Times New Roman"/>
          <w:sz w:val="24"/>
          <w:szCs w:val="24"/>
        </w:rPr>
        <w:t xml:space="preserve"> – prognostycznego dot. Budowy linii kolejowej Zegrze – Przasnysz,</w:t>
      </w:r>
    </w:p>
    <w:p w14:paraId="61B216BA" w14:textId="58E2BDC9" w:rsidR="003045FF" w:rsidRPr="00D00CB7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budowa budynku komunalnego,</w:t>
      </w:r>
    </w:p>
    <w:p w14:paraId="7D80726E" w14:textId="1AE415D2" w:rsidR="003C69C3" w:rsidRPr="00D00CB7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budowy wodociąg</w:t>
      </w:r>
      <w:r w:rsidR="0084108D" w:rsidRPr="00D00CB7">
        <w:rPr>
          <w:rFonts w:ascii="Times New Roman" w:hAnsi="Times New Roman" w:cs="Times New Roman"/>
          <w:sz w:val="24"/>
          <w:szCs w:val="24"/>
        </w:rPr>
        <w:t>u</w:t>
      </w:r>
      <w:r w:rsidRPr="00D00CB7">
        <w:rPr>
          <w:rFonts w:ascii="Times New Roman" w:hAnsi="Times New Roman" w:cs="Times New Roman"/>
          <w:sz w:val="24"/>
          <w:szCs w:val="24"/>
        </w:rPr>
        <w:t xml:space="preserve"> w Serocku</w:t>
      </w:r>
      <w:r w:rsidR="003045FF" w:rsidRPr="00D00CB7">
        <w:rPr>
          <w:rFonts w:ascii="Times New Roman" w:hAnsi="Times New Roman" w:cs="Times New Roman"/>
          <w:sz w:val="24"/>
          <w:szCs w:val="24"/>
        </w:rPr>
        <w:t>,</w:t>
      </w:r>
    </w:p>
    <w:p w14:paraId="69C59054" w14:textId="5179D9EB" w:rsidR="0084108D" w:rsidRPr="00D00CB7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budowa </w:t>
      </w:r>
      <w:proofErr w:type="gramStart"/>
      <w:r w:rsidRPr="00D00CB7">
        <w:rPr>
          <w:rFonts w:ascii="Times New Roman" w:hAnsi="Times New Roman" w:cs="Times New Roman"/>
          <w:sz w:val="24"/>
          <w:szCs w:val="24"/>
        </w:rPr>
        <w:t>kanalizacji :</w:t>
      </w:r>
      <w:proofErr w:type="gramEnd"/>
      <w:r w:rsidRPr="00D00CB7">
        <w:rPr>
          <w:rFonts w:ascii="Times New Roman" w:hAnsi="Times New Roman" w:cs="Times New Roman"/>
          <w:sz w:val="24"/>
          <w:szCs w:val="24"/>
        </w:rPr>
        <w:t xml:space="preserve"> Stasi  Las – Borowa Góra,</w:t>
      </w:r>
    </w:p>
    <w:p w14:paraId="43B2F0A7" w14:textId="26B492AF" w:rsidR="003C69C3" w:rsidRPr="00D00CB7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>prze</w:t>
      </w:r>
      <w:r w:rsidR="003C69C3" w:rsidRPr="00D00CB7">
        <w:rPr>
          <w:rFonts w:ascii="Times New Roman" w:hAnsi="Times New Roman" w:cs="Times New Roman"/>
          <w:sz w:val="24"/>
          <w:szCs w:val="24"/>
        </w:rPr>
        <w:t xml:space="preserve">budowa ul. </w:t>
      </w:r>
      <w:r w:rsidRPr="00D00CB7">
        <w:rPr>
          <w:rFonts w:ascii="Times New Roman" w:hAnsi="Times New Roman" w:cs="Times New Roman"/>
          <w:sz w:val="24"/>
          <w:szCs w:val="24"/>
        </w:rPr>
        <w:t>Szaniawskiego w Jadwisinie, Łacha, Borowa Góra</w:t>
      </w:r>
      <w:r w:rsidR="003C69C3" w:rsidRPr="00D00CB7">
        <w:rPr>
          <w:rFonts w:ascii="Times New Roman" w:hAnsi="Times New Roman" w:cs="Times New Roman"/>
          <w:sz w:val="24"/>
          <w:szCs w:val="24"/>
        </w:rPr>
        <w:t>,</w:t>
      </w:r>
    </w:p>
    <w:p w14:paraId="5A73816C" w14:textId="2E663E41" w:rsidR="00393C44" w:rsidRPr="00D00CB7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D00CB7">
        <w:rPr>
          <w:rFonts w:ascii="Times New Roman" w:hAnsi="Times New Roman" w:cs="Times New Roman"/>
          <w:sz w:val="24"/>
          <w:szCs w:val="24"/>
        </w:rPr>
        <w:t xml:space="preserve">w </w:t>
      </w:r>
      <w:r w:rsidR="0084108D" w:rsidRPr="00D00CB7">
        <w:rPr>
          <w:rFonts w:ascii="Times New Roman" w:hAnsi="Times New Roman" w:cs="Times New Roman"/>
          <w:sz w:val="24"/>
          <w:szCs w:val="24"/>
        </w:rPr>
        <w:t>Izbicy, Dosinie</w:t>
      </w:r>
      <w:r w:rsidR="00393C44" w:rsidRPr="00D00CB7">
        <w:rPr>
          <w:rFonts w:ascii="Times New Roman" w:hAnsi="Times New Roman" w:cs="Times New Roman"/>
          <w:sz w:val="24"/>
          <w:szCs w:val="24"/>
        </w:rPr>
        <w:t>.</w:t>
      </w:r>
    </w:p>
    <w:p w14:paraId="6B130E69" w14:textId="77777777" w:rsidR="003C69C3" w:rsidRPr="00D00CB7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AAD4436" w14:textId="77777777" w:rsidR="00633670" w:rsidRPr="00D00CB7" w:rsidRDefault="00CB3ECE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0CB7">
        <w:rPr>
          <w:rFonts w:ascii="Times New Roman" w:hAnsi="Times New Roman" w:cs="Times New Roman"/>
          <w:sz w:val="24"/>
          <w:szCs w:val="24"/>
        </w:rPr>
        <w:tab/>
        <w:t xml:space="preserve">Poszczególne zadania przyjęte w wykazie przedsięwzięć określa załącznik nr 2 do Wieloletniej Prognozy Finansowej Miasta i Gminy Serock. </w:t>
      </w:r>
    </w:p>
    <w:p w14:paraId="09C38864" w14:textId="77777777" w:rsidR="00633670" w:rsidRPr="00CA2E4A" w:rsidRDefault="00633670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47668F" w14:textId="123C2BA9" w:rsidR="00633670" w:rsidRPr="00D00CB7" w:rsidRDefault="00633670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4A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D00CB7">
        <w:rPr>
          <w:rFonts w:ascii="Times New Roman" w:hAnsi="Times New Roman" w:cs="Times New Roman"/>
          <w:sz w:val="24"/>
          <w:szCs w:val="24"/>
        </w:rPr>
        <w:t>W Wieloletniej Prognozie Finansowej dostosowano rok 2020 do wykonania budżetu, zgodnie ze sprawozdawczością budżetową.</w:t>
      </w:r>
    </w:p>
    <w:p w14:paraId="15A8FCDE" w14:textId="77777777" w:rsidR="00BE0C23" w:rsidRPr="00D3300B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6DA4782" w14:textId="1B1DCC25" w:rsidR="00F14B3F" w:rsidRPr="00976256" w:rsidRDefault="00633670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00B">
        <w:rPr>
          <w:rFonts w:ascii="Times New Roman" w:hAnsi="Times New Roman" w:cs="Times New Roman"/>
          <w:sz w:val="24"/>
          <w:szCs w:val="24"/>
        </w:rPr>
        <w:tab/>
      </w:r>
      <w:r w:rsidR="00F14B3F" w:rsidRPr="00D3300B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F14B3F" w:rsidRPr="00976256">
        <w:rPr>
          <w:rFonts w:ascii="Times New Roman" w:hAnsi="Times New Roman" w:cs="Times New Roman"/>
          <w:sz w:val="24"/>
          <w:szCs w:val="24"/>
        </w:rPr>
        <w:t xml:space="preserve">z wprowadzonymi zmianami w budżecie zwiększa się plan dochodów na rok 2021r. o kwotę </w:t>
      </w:r>
      <w:r w:rsidR="005E2C1A" w:rsidRPr="00976256">
        <w:rPr>
          <w:rFonts w:ascii="Times New Roman" w:hAnsi="Times New Roman" w:cs="Times New Roman"/>
          <w:b/>
          <w:bCs/>
          <w:sz w:val="24"/>
          <w:szCs w:val="24"/>
        </w:rPr>
        <w:t>475</w:t>
      </w:r>
      <w:r w:rsidR="00F14B3F" w:rsidRPr="009762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2C1A" w:rsidRPr="00976256">
        <w:rPr>
          <w:rFonts w:ascii="Times New Roman" w:hAnsi="Times New Roman" w:cs="Times New Roman"/>
          <w:b/>
          <w:bCs/>
          <w:sz w:val="24"/>
          <w:szCs w:val="24"/>
        </w:rPr>
        <w:t>667,64</w:t>
      </w:r>
      <w:r w:rsidR="00F82C5A" w:rsidRPr="00976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B3F" w:rsidRPr="00976256">
        <w:rPr>
          <w:rFonts w:ascii="Times New Roman" w:hAnsi="Times New Roman" w:cs="Times New Roman"/>
          <w:b/>
          <w:bCs/>
          <w:sz w:val="24"/>
          <w:szCs w:val="24"/>
        </w:rPr>
        <w:t>zł.</w:t>
      </w:r>
      <w:r w:rsidR="00F14B3F" w:rsidRPr="00976256">
        <w:rPr>
          <w:rFonts w:ascii="Times New Roman" w:hAnsi="Times New Roman" w:cs="Times New Roman"/>
          <w:sz w:val="24"/>
          <w:szCs w:val="24"/>
        </w:rPr>
        <w:t>, na którą składa się:</w:t>
      </w:r>
    </w:p>
    <w:p w14:paraId="3EF62430" w14:textId="77777777" w:rsidR="00F14B3F" w:rsidRPr="00976256" w:rsidRDefault="00F14B3F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716BD" w14:textId="09FF0F90" w:rsidR="00F14B3F" w:rsidRPr="00976256" w:rsidRDefault="00F14B3F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56">
        <w:rPr>
          <w:rFonts w:ascii="Times New Roman" w:hAnsi="Times New Roman" w:cs="Times New Roman"/>
          <w:sz w:val="24"/>
          <w:szCs w:val="24"/>
        </w:rPr>
        <w:t xml:space="preserve">1. zwiększenie dochodów bieżących o kwotę </w:t>
      </w:r>
      <w:r w:rsidR="005E2C1A" w:rsidRPr="00976256">
        <w:rPr>
          <w:rFonts w:ascii="Times New Roman" w:hAnsi="Times New Roman" w:cs="Times New Roman"/>
          <w:bCs/>
          <w:sz w:val="24"/>
          <w:szCs w:val="24"/>
        </w:rPr>
        <w:t>271</w:t>
      </w:r>
      <w:r w:rsidRPr="00976256">
        <w:rPr>
          <w:rFonts w:ascii="Times New Roman" w:hAnsi="Times New Roman" w:cs="Times New Roman"/>
          <w:bCs/>
          <w:sz w:val="24"/>
          <w:szCs w:val="24"/>
        </w:rPr>
        <w:t>.</w:t>
      </w:r>
      <w:r w:rsidR="005E2C1A" w:rsidRPr="00976256">
        <w:rPr>
          <w:rFonts w:ascii="Times New Roman" w:hAnsi="Times New Roman" w:cs="Times New Roman"/>
          <w:bCs/>
          <w:sz w:val="24"/>
          <w:szCs w:val="24"/>
        </w:rPr>
        <w:t>667,64</w:t>
      </w:r>
      <w:r w:rsidRPr="00976256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976256">
        <w:rPr>
          <w:rFonts w:ascii="Times New Roman" w:hAnsi="Times New Roman" w:cs="Times New Roman"/>
          <w:sz w:val="24"/>
          <w:szCs w:val="24"/>
        </w:rPr>
        <w:t xml:space="preserve"> z tytułu: </w:t>
      </w:r>
    </w:p>
    <w:p w14:paraId="49715F16" w14:textId="09E4B9C0" w:rsidR="00F14B3F" w:rsidRPr="00976256" w:rsidRDefault="00F14B3F" w:rsidP="00F14B3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256">
        <w:rPr>
          <w:rFonts w:ascii="Times New Roman" w:hAnsi="Times New Roman" w:cs="Times New Roman"/>
          <w:sz w:val="24"/>
          <w:szCs w:val="24"/>
        </w:rPr>
        <w:t>otrzymania informacji o zmianach w planie dotacji na 202</w:t>
      </w:r>
      <w:r w:rsidR="00DB44A4" w:rsidRPr="00976256">
        <w:rPr>
          <w:rFonts w:ascii="Times New Roman" w:hAnsi="Times New Roman" w:cs="Times New Roman"/>
          <w:sz w:val="24"/>
          <w:szCs w:val="24"/>
        </w:rPr>
        <w:t>1</w:t>
      </w:r>
      <w:r w:rsidRPr="00976256">
        <w:rPr>
          <w:rFonts w:ascii="Times New Roman" w:hAnsi="Times New Roman" w:cs="Times New Roman"/>
          <w:sz w:val="24"/>
          <w:szCs w:val="24"/>
        </w:rPr>
        <w:t xml:space="preserve">r. z </w:t>
      </w:r>
      <w:bookmarkStart w:id="2" w:name="_Hlk3808091"/>
      <w:r w:rsidRPr="00976256">
        <w:rPr>
          <w:rFonts w:ascii="Times New Roman" w:hAnsi="Times New Roman" w:cs="Times New Roman"/>
          <w:sz w:val="24"/>
          <w:szCs w:val="24"/>
        </w:rPr>
        <w:t xml:space="preserve">Mazowieckiego Urzędu Wojewódzkiego </w:t>
      </w:r>
      <w:bookmarkEnd w:id="2"/>
      <w:r w:rsidRPr="00976256">
        <w:rPr>
          <w:rFonts w:ascii="Times New Roman" w:hAnsi="Times New Roman" w:cs="Times New Roman"/>
          <w:sz w:val="24"/>
          <w:szCs w:val="24"/>
        </w:rPr>
        <w:t xml:space="preserve">– zwiększenie o łączną kwotę </w:t>
      </w:r>
      <w:r w:rsidR="009A2007" w:rsidRPr="00976256">
        <w:rPr>
          <w:rFonts w:ascii="Times New Roman" w:hAnsi="Times New Roman" w:cs="Times New Roman"/>
          <w:sz w:val="24"/>
          <w:szCs w:val="24"/>
        </w:rPr>
        <w:t>1</w:t>
      </w:r>
      <w:r w:rsidR="00976256">
        <w:rPr>
          <w:rFonts w:ascii="Times New Roman" w:hAnsi="Times New Roman" w:cs="Times New Roman"/>
          <w:sz w:val="24"/>
          <w:szCs w:val="24"/>
        </w:rPr>
        <w:t>4</w:t>
      </w:r>
      <w:r w:rsidR="00976256" w:rsidRPr="00976256">
        <w:rPr>
          <w:rFonts w:ascii="Times New Roman" w:hAnsi="Times New Roman" w:cs="Times New Roman"/>
          <w:sz w:val="24"/>
          <w:szCs w:val="24"/>
        </w:rPr>
        <w:t>9</w:t>
      </w:r>
      <w:r w:rsidRPr="00976256">
        <w:rPr>
          <w:rFonts w:ascii="Times New Roman" w:hAnsi="Times New Roman" w:cs="Times New Roman"/>
          <w:sz w:val="24"/>
          <w:szCs w:val="24"/>
        </w:rPr>
        <w:t>.</w:t>
      </w:r>
      <w:r w:rsidR="00976256">
        <w:rPr>
          <w:rFonts w:ascii="Times New Roman" w:hAnsi="Times New Roman" w:cs="Times New Roman"/>
          <w:sz w:val="24"/>
          <w:szCs w:val="24"/>
        </w:rPr>
        <w:t>739,41</w:t>
      </w:r>
      <w:r w:rsidRPr="00976256">
        <w:rPr>
          <w:rFonts w:ascii="Times New Roman" w:hAnsi="Times New Roman" w:cs="Times New Roman"/>
          <w:sz w:val="24"/>
          <w:szCs w:val="24"/>
        </w:rPr>
        <w:t xml:space="preserve"> zł z przeznaczeniem na:</w:t>
      </w:r>
    </w:p>
    <w:p w14:paraId="5F81DDC5" w14:textId="1EFDDB18" w:rsidR="005E2C1A" w:rsidRPr="00976256" w:rsidRDefault="00976256" w:rsidP="009762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6256">
        <w:rPr>
          <w:rFonts w:ascii="Times New Roman" w:hAnsi="Times New Roman" w:cs="Times New Roman"/>
          <w:sz w:val="24"/>
          <w:szCs w:val="24"/>
        </w:rPr>
        <w:t>zadania realizowane w ramach wieloletniego rządowego programu „Posiłek w szkole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6256">
        <w:rPr>
          <w:rFonts w:ascii="Times New Roman" w:hAnsi="Times New Roman" w:cs="Times New Roman"/>
          <w:sz w:val="24"/>
          <w:szCs w:val="24"/>
        </w:rPr>
        <w:t xml:space="preserve"> i w domu” – zwiększenie o </w:t>
      </w:r>
      <w:r w:rsidR="005E2C1A" w:rsidRPr="00976256">
        <w:rPr>
          <w:rFonts w:ascii="Times New Roman" w:hAnsi="Times New Roman" w:cs="Times New Roman"/>
          <w:sz w:val="24"/>
          <w:szCs w:val="24"/>
        </w:rPr>
        <w:t>kwotę 16.270 zł</w:t>
      </w:r>
      <w:r w:rsidRPr="00976256">
        <w:rPr>
          <w:rFonts w:ascii="Times New Roman" w:hAnsi="Times New Roman" w:cs="Times New Roman"/>
          <w:sz w:val="24"/>
          <w:szCs w:val="24"/>
        </w:rPr>
        <w:t>,</w:t>
      </w:r>
    </w:p>
    <w:p w14:paraId="1425C7CE" w14:textId="4CC6F94F" w:rsidR="005E2C1A" w:rsidRPr="00976256" w:rsidRDefault="005E2C1A" w:rsidP="005E2C1A">
      <w:pPr>
        <w:pStyle w:val="Akapitzlist"/>
        <w:numPr>
          <w:ilvl w:val="0"/>
          <w:numId w:val="17"/>
        </w:numPr>
        <w:tabs>
          <w:tab w:val="left" w:pos="702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256">
        <w:rPr>
          <w:rFonts w:ascii="Times New Roman" w:hAnsi="Times New Roman" w:cs="Times New Roman"/>
          <w:bCs/>
          <w:sz w:val="24"/>
          <w:szCs w:val="24"/>
        </w:rPr>
        <w:t xml:space="preserve">zapewnienie warunków do osiedlenia się na terenie gminy Serock określonej imiennie rodziny repatriantów z terenu azjatyckiej części </w:t>
      </w:r>
      <w:r w:rsidRPr="005E2C1A">
        <w:rPr>
          <w:rFonts w:ascii="Times New Roman" w:hAnsi="Times New Roman" w:cs="Times New Roman"/>
          <w:bCs/>
          <w:sz w:val="24"/>
          <w:szCs w:val="24"/>
        </w:rPr>
        <w:t xml:space="preserve">byłego ZSRR (Kazachstanu), zgodnie z art. 21 ustawy z dnia 9 listopada 2000r., o repatriacji oraz §9 i §10 rozporządzeniem Rady Ministrów z dnia 21 czerwca 2018r. </w:t>
      </w:r>
      <w:r w:rsidRPr="005E2C1A">
        <w:rPr>
          <w:rFonts w:ascii="Times New Roman" w:hAnsi="Times New Roman" w:cs="Times New Roman"/>
          <w:sz w:val="24"/>
          <w:szCs w:val="24"/>
        </w:rPr>
        <w:t>w ramach rezerwy celowej z budżetu państwa</w:t>
      </w:r>
      <w:r w:rsidRPr="005E2C1A">
        <w:rPr>
          <w:rFonts w:ascii="Times New Roman" w:hAnsi="Times New Roman" w:cs="Times New Roman"/>
          <w:bCs/>
          <w:sz w:val="24"/>
          <w:szCs w:val="24"/>
        </w:rPr>
        <w:t xml:space="preserve"> „Pomoc dla repatriantów” oraz zgodnie z uchwałą Rady Miejskiej w Serocku </w:t>
      </w:r>
      <w:r w:rsidRPr="00976256">
        <w:rPr>
          <w:rFonts w:ascii="Times New Roman" w:hAnsi="Times New Roman" w:cs="Times New Roman"/>
          <w:bCs/>
          <w:sz w:val="24"/>
          <w:szCs w:val="24"/>
        </w:rPr>
        <w:t>nr 332/XXX/2020 z dnia 16 grudnia 2020r.</w:t>
      </w:r>
      <w:r w:rsidR="00976256" w:rsidRPr="00976256">
        <w:rPr>
          <w:rFonts w:ascii="Times New Roman" w:hAnsi="Times New Roman" w:cs="Times New Roman"/>
          <w:bCs/>
          <w:sz w:val="24"/>
          <w:szCs w:val="24"/>
        </w:rPr>
        <w:t xml:space="preserve">  – zwiększenie o kwotę 143.261,41 zł,</w:t>
      </w:r>
    </w:p>
    <w:p w14:paraId="5C509799" w14:textId="4811EB20" w:rsidR="00976256" w:rsidRPr="00976256" w:rsidRDefault="008B5FBD" w:rsidP="009762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6256">
        <w:rPr>
          <w:rFonts w:ascii="Times New Roman" w:hAnsi="Times New Roman" w:cs="Times New Roman"/>
          <w:sz w:val="24"/>
          <w:szCs w:val="24"/>
        </w:rPr>
        <w:t xml:space="preserve">realizację programu „Opieka </w:t>
      </w:r>
      <w:proofErr w:type="spellStart"/>
      <w:r w:rsidRPr="00976256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976256">
        <w:rPr>
          <w:rFonts w:ascii="Times New Roman" w:hAnsi="Times New Roman" w:cs="Times New Roman"/>
          <w:sz w:val="24"/>
          <w:szCs w:val="24"/>
        </w:rPr>
        <w:t xml:space="preserve"> 2021” – </w:t>
      </w:r>
      <w:r w:rsidR="00976256" w:rsidRPr="00976256">
        <w:rPr>
          <w:rFonts w:ascii="Times New Roman" w:hAnsi="Times New Roman" w:cs="Times New Roman"/>
          <w:sz w:val="24"/>
          <w:szCs w:val="24"/>
        </w:rPr>
        <w:t>zmniejszenie</w:t>
      </w:r>
      <w:r w:rsidRPr="00976256">
        <w:rPr>
          <w:rFonts w:ascii="Times New Roman" w:hAnsi="Times New Roman" w:cs="Times New Roman"/>
          <w:sz w:val="24"/>
          <w:szCs w:val="24"/>
        </w:rPr>
        <w:t xml:space="preserve"> o kwotę 9.792 zł.</w:t>
      </w:r>
      <w:r w:rsidR="00976256" w:rsidRPr="00976256">
        <w:rPr>
          <w:rFonts w:ascii="Times New Roman" w:hAnsi="Times New Roman" w:cs="Times New Roman"/>
          <w:sz w:val="24"/>
          <w:szCs w:val="24"/>
        </w:rPr>
        <w:t>, w związku z realizacją zadania w pozabudżetowo.</w:t>
      </w:r>
    </w:p>
    <w:p w14:paraId="781953F2" w14:textId="2EB2488A" w:rsidR="00863A26" w:rsidRDefault="00976256" w:rsidP="0097625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otrzymano dofinansowanie z</w:t>
      </w:r>
      <w:r w:rsidR="00863A26">
        <w:rPr>
          <w:rFonts w:ascii="Times New Roman" w:hAnsi="Times New Roman" w:cs="Times New Roman"/>
          <w:sz w:val="24"/>
          <w:szCs w:val="24"/>
        </w:rPr>
        <w:t>e środków Samorządu</w:t>
      </w:r>
      <w:r>
        <w:rPr>
          <w:rFonts w:ascii="Times New Roman" w:hAnsi="Times New Roman" w:cs="Times New Roman"/>
          <w:sz w:val="24"/>
          <w:szCs w:val="24"/>
        </w:rPr>
        <w:t xml:space="preserve"> Województwa Mazowieckiego </w:t>
      </w:r>
      <w:r w:rsidR="00863A26">
        <w:rPr>
          <w:rFonts w:ascii="Times New Roman" w:hAnsi="Times New Roman" w:cs="Times New Roman"/>
          <w:sz w:val="24"/>
          <w:szCs w:val="24"/>
        </w:rPr>
        <w:t>na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A26">
        <w:rPr>
          <w:rFonts w:ascii="Times New Roman" w:hAnsi="Times New Roman" w:cs="Times New Roman"/>
          <w:sz w:val="24"/>
          <w:szCs w:val="24"/>
        </w:rPr>
        <w:t xml:space="preserve">n/w </w:t>
      </w:r>
      <w:r>
        <w:rPr>
          <w:rFonts w:ascii="Times New Roman" w:hAnsi="Times New Roman" w:cs="Times New Roman"/>
          <w:sz w:val="24"/>
          <w:szCs w:val="24"/>
        </w:rPr>
        <w:t>zada</w:t>
      </w:r>
      <w:r w:rsidR="00863A26">
        <w:rPr>
          <w:rFonts w:ascii="Times New Roman" w:hAnsi="Times New Roman" w:cs="Times New Roman"/>
          <w:sz w:val="24"/>
          <w:szCs w:val="24"/>
        </w:rPr>
        <w:t>ń:</w:t>
      </w:r>
    </w:p>
    <w:p w14:paraId="07F7EB2E" w14:textId="19F2D319" w:rsidR="00976256" w:rsidRDefault="00976256" w:rsidP="00863A26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CDC">
        <w:rPr>
          <w:rFonts w:ascii="Times New Roman" w:hAnsi="Times New Roman" w:cs="Times New Roman"/>
          <w:sz w:val="24"/>
          <w:szCs w:val="24"/>
        </w:rPr>
        <w:t>„Produkty turystyczne jako perspektywa rozwoju Miasta i Gminy Serock” w ramach Planu Działania Krajowej Sieci Obszarów Wiejskich na lata 2014-2020 Plan Operacyjny 2020-2021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CDC">
        <w:rPr>
          <w:rFonts w:ascii="Times New Roman" w:hAnsi="Times New Roman" w:cs="Times New Roman"/>
          <w:sz w:val="24"/>
          <w:szCs w:val="24"/>
        </w:rPr>
        <w:t>w wysokości 26.200 zł</w:t>
      </w:r>
      <w:r w:rsidR="00863A26">
        <w:rPr>
          <w:rFonts w:ascii="Times New Roman" w:hAnsi="Times New Roman" w:cs="Times New Roman"/>
          <w:sz w:val="24"/>
          <w:szCs w:val="24"/>
        </w:rPr>
        <w:t>,</w:t>
      </w:r>
    </w:p>
    <w:p w14:paraId="4D060AE4" w14:textId="0BC3EDC6" w:rsidR="00976256" w:rsidRDefault="00863A26" w:rsidP="00863A26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CDC">
        <w:rPr>
          <w:rFonts w:ascii="Times New Roman" w:hAnsi="Times New Roman" w:cs="Times New Roman"/>
          <w:sz w:val="24"/>
          <w:szCs w:val="24"/>
        </w:rPr>
        <w:t xml:space="preserve">„Aktualizacja inwentaryzacji indywidualnych źródeł ciepła na terenie Miasta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E5CDC">
        <w:rPr>
          <w:rFonts w:ascii="Times New Roman" w:hAnsi="Times New Roman" w:cs="Times New Roman"/>
          <w:sz w:val="24"/>
          <w:szCs w:val="24"/>
        </w:rPr>
        <w:t>i Gminy Serock” w ramach rozstrzygnięcia konkursu Mazowieckiego Instrumentu Wsparcia Ochrony Powietrza i Mikroklimatu MAZOWSZE 2021</w:t>
      </w:r>
      <w:r w:rsidR="00976256" w:rsidRPr="00863A26">
        <w:rPr>
          <w:rFonts w:ascii="Times New Roman" w:hAnsi="Times New Roman" w:cs="Times New Roman"/>
          <w:sz w:val="24"/>
          <w:szCs w:val="24"/>
        </w:rPr>
        <w:t xml:space="preserve"> w wysokości 113.467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5E4AEEF" w14:textId="435F5959" w:rsidR="00976256" w:rsidRPr="00863A26" w:rsidRDefault="00863A26" w:rsidP="00976256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A26">
        <w:rPr>
          <w:rFonts w:ascii="Times New Roman" w:hAnsi="Times New Roman" w:cs="Times New Roman"/>
          <w:sz w:val="24"/>
          <w:szCs w:val="24"/>
        </w:rPr>
        <w:t>w</w:t>
      </w:r>
      <w:r w:rsidR="00976256" w:rsidRPr="00863A26">
        <w:rPr>
          <w:rFonts w:ascii="Times New Roman" w:hAnsi="Times New Roman" w:cs="Times New Roman"/>
          <w:sz w:val="24"/>
          <w:szCs w:val="24"/>
        </w:rPr>
        <w:t xml:space="preserve"> związku z rozwiązaniem umowy z Urzędem Marszałkowskim Województwa Mazowieckiego na realizację projektu pn. „Serock i okolice w świetle dawnych dokumentów i fotografii” zmniejsza się </w:t>
      </w:r>
      <w:r>
        <w:rPr>
          <w:rFonts w:ascii="Times New Roman" w:hAnsi="Times New Roman" w:cs="Times New Roman"/>
          <w:sz w:val="24"/>
          <w:szCs w:val="24"/>
        </w:rPr>
        <w:t xml:space="preserve">dochody </w:t>
      </w:r>
      <w:r w:rsidR="00976256" w:rsidRPr="00863A26">
        <w:rPr>
          <w:rFonts w:ascii="Times New Roman" w:hAnsi="Times New Roman" w:cs="Times New Roman"/>
          <w:sz w:val="24"/>
          <w:szCs w:val="24"/>
        </w:rPr>
        <w:t xml:space="preserve">o kwotę 31.815. </w:t>
      </w:r>
    </w:p>
    <w:p w14:paraId="65B2C371" w14:textId="12E274B2" w:rsidR="00DB44A4" w:rsidRPr="00C41576" w:rsidRDefault="00DB44A4" w:rsidP="007827D7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576">
        <w:rPr>
          <w:rFonts w:ascii="Times New Roman" w:hAnsi="Times New Roman" w:cs="Times New Roman"/>
          <w:sz w:val="24"/>
          <w:szCs w:val="24"/>
        </w:rPr>
        <w:t xml:space="preserve">uzyskania wyższych wpływów z różnych dochodów i opłat w wysokości </w:t>
      </w:r>
      <w:r w:rsidR="005E2C1A" w:rsidRPr="00C41576">
        <w:rPr>
          <w:rFonts w:ascii="Times New Roman" w:hAnsi="Times New Roman" w:cs="Times New Roman"/>
          <w:sz w:val="24"/>
          <w:szCs w:val="24"/>
        </w:rPr>
        <w:t>1</w:t>
      </w:r>
      <w:r w:rsidR="00E71D8D" w:rsidRPr="00C41576">
        <w:rPr>
          <w:rFonts w:ascii="Times New Roman" w:hAnsi="Times New Roman" w:cs="Times New Roman"/>
          <w:sz w:val="24"/>
          <w:szCs w:val="24"/>
        </w:rPr>
        <w:t>4</w:t>
      </w:r>
      <w:r w:rsidR="007827D7" w:rsidRPr="00C41576">
        <w:rPr>
          <w:rFonts w:ascii="Times New Roman" w:hAnsi="Times New Roman" w:cs="Times New Roman"/>
          <w:sz w:val="24"/>
          <w:szCs w:val="24"/>
        </w:rPr>
        <w:t>.</w:t>
      </w:r>
      <w:r w:rsidR="005E2C1A" w:rsidRPr="00C41576">
        <w:rPr>
          <w:rFonts w:ascii="Times New Roman" w:hAnsi="Times New Roman" w:cs="Times New Roman"/>
          <w:sz w:val="24"/>
          <w:szCs w:val="24"/>
        </w:rPr>
        <w:t>076,23</w:t>
      </w:r>
      <w:r w:rsidRPr="00C41576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793ADC42" w14:textId="77777777" w:rsidR="007827D7" w:rsidRPr="00C41576" w:rsidRDefault="007827D7" w:rsidP="007827D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EE69EA" w14:textId="77777777" w:rsidR="001A1AF2" w:rsidRPr="00C41576" w:rsidRDefault="00F14B3F" w:rsidP="0082178A">
      <w:pPr>
        <w:pStyle w:val="Akapitzlist"/>
        <w:widowControl w:val="0"/>
        <w:numPr>
          <w:ilvl w:val="0"/>
          <w:numId w:val="3"/>
        </w:numPr>
        <w:tabs>
          <w:tab w:val="num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576">
        <w:rPr>
          <w:rFonts w:ascii="Times New Roman" w:hAnsi="Times New Roman" w:cs="Times New Roman"/>
          <w:sz w:val="24"/>
          <w:szCs w:val="24"/>
        </w:rPr>
        <w:t xml:space="preserve">zwiększenie dochodów majątkowych o kwotę </w:t>
      </w:r>
      <w:r w:rsidR="005E2C1A" w:rsidRPr="00C41576">
        <w:rPr>
          <w:rFonts w:ascii="Times New Roman" w:hAnsi="Times New Roman" w:cs="Times New Roman"/>
          <w:bCs/>
          <w:sz w:val="24"/>
          <w:szCs w:val="24"/>
        </w:rPr>
        <w:t>204.000</w:t>
      </w:r>
      <w:r w:rsidRPr="00C41576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C41576">
        <w:rPr>
          <w:rFonts w:ascii="Times New Roman" w:hAnsi="Times New Roman" w:cs="Times New Roman"/>
          <w:sz w:val="24"/>
          <w:szCs w:val="24"/>
        </w:rPr>
        <w:t xml:space="preserve"> z tytułu</w:t>
      </w:r>
      <w:r w:rsidR="001A1AF2" w:rsidRPr="00C41576">
        <w:rPr>
          <w:rFonts w:ascii="Times New Roman" w:hAnsi="Times New Roman" w:cs="Times New Roman"/>
          <w:sz w:val="24"/>
          <w:szCs w:val="24"/>
        </w:rPr>
        <w:t>:</w:t>
      </w:r>
    </w:p>
    <w:p w14:paraId="51494F61" w14:textId="746AEFF6" w:rsidR="0082178A" w:rsidRPr="00C41576" w:rsidRDefault="001A1AF2" w:rsidP="00C41576">
      <w:pPr>
        <w:pStyle w:val="Akapitzlist"/>
        <w:widowControl w:val="0"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576">
        <w:rPr>
          <w:rFonts w:ascii="Times New Roman" w:hAnsi="Times New Roman" w:cs="Times New Roman"/>
          <w:sz w:val="24"/>
          <w:szCs w:val="24"/>
        </w:rPr>
        <w:t>u</w:t>
      </w:r>
      <w:r w:rsidRPr="00C41576">
        <w:rPr>
          <w:rFonts w:ascii="Times New Roman" w:hAnsi="Times New Roman" w:cs="Times New Roman"/>
          <w:bCs/>
          <w:sz w:val="24"/>
          <w:szCs w:val="24"/>
        </w:rPr>
        <w:t>zyskania środków w wysokości 4.000 zł pochodzących z wpłat za wybudowanie jako inwestor zastępczy, przyłączy kanalizacyjnych</w:t>
      </w:r>
      <w:r w:rsidRPr="00C41576">
        <w:rPr>
          <w:rFonts w:ascii="Times New Roman" w:hAnsi="Times New Roman" w:cs="Times New Roman"/>
          <w:sz w:val="24"/>
          <w:szCs w:val="24"/>
        </w:rPr>
        <w:t>,</w:t>
      </w:r>
    </w:p>
    <w:p w14:paraId="22C598E6" w14:textId="77777777" w:rsidR="00C41576" w:rsidRPr="00C41576" w:rsidRDefault="00863A26" w:rsidP="00C41576">
      <w:pPr>
        <w:pStyle w:val="Akapitzlist"/>
        <w:widowControl w:val="0"/>
        <w:numPr>
          <w:ilvl w:val="0"/>
          <w:numId w:val="1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1576">
        <w:rPr>
          <w:rFonts w:ascii="Times New Roman" w:hAnsi="Times New Roman" w:cs="Times New Roman"/>
          <w:sz w:val="24"/>
          <w:szCs w:val="24"/>
        </w:rPr>
        <w:t>uzyskani</w:t>
      </w:r>
      <w:r w:rsidR="00C41576" w:rsidRPr="00C41576">
        <w:rPr>
          <w:rFonts w:ascii="Times New Roman" w:hAnsi="Times New Roman" w:cs="Times New Roman"/>
          <w:sz w:val="24"/>
          <w:szCs w:val="24"/>
        </w:rPr>
        <w:t>a</w:t>
      </w:r>
      <w:r w:rsidRPr="00C41576">
        <w:rPr>
          <w:rFonts w:ascii="Times New Roman" w:hAnsi="Times New Roman" w:cs="Times New Roman"/>
          <w:sz w:val="24"/>
          <w:szCs w:val="24"/>
        </w:rPr>
        <w:t xml:space="preserve"> środków z </w:t>
      </w:r>
      <w:r w:rsidR="00C41576" w:rsidRPr="00C41576">
        <w:rPr>
          <w:rFonts w:ascii="Times New Roman" w:hAnsi="Times New Roman" w:cs="Times New Roman"/>
          <w:sz w:val="24"/>
          <w:szCs w:val="24"/>
        </w:rPr>
        <w:t xml:space="preserve">Samorządu </w:t>
      </w:r>
      <w:r w:rsidRPr="00C41576">
        <w:rPr>
          <w:rFonts w:ascii="Times New Roman" w:hAnsi="Times New Roman" w:cs="Times New Roman"/>
          <w:sz w:val="24"/>
          <w:szCs w:val="24"/>
        </w:rPr>
        <w:t>Województwa Mazowieckiego</w:t>
      </w:r>
      <w:r w:rsidR="00C41576" w:rsidRPr="00C41576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55F85CF3" w14:textId="6C7BEA30" w:rsidR="00863A26" w:rsidRPr="00C41576" w:rsidRDefault="00C41576" w:rsidP="00C41576">
      <w:pPr>
        <w:pStyle w:val="Akapitzlist"/>
        <w:widowControl w:val="0"/>
        <w:numPr>
          <w:ilvl w:val="0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r</w:t>
      </w:r>
      <w:r w:rsidRPr="00C41576">
        <w:rPr>
          <w:rFonts w:ascii="Times New Roman" w:hAnsi="Times New Roman" w:cs="Times New Roman"/>
          <w:sz w:val="24"/>
          <w:szCs w:val="24"/>
        </w:rPr>
        <w:t>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1576">
        <w:rPr>
          <w:rFonts w:ascii="Times New Roman" w:hAnsi="Times New Roman" w:cs="Times New Roman"/>
          <w:sz w:val="24"/>
          <w:szCs w:val="24"/>
        </w:rPr>
        <w:t xml:space="preserve"> przedsięwzięcia pn. „Budowa drogi gminnej Jadwisin – Zegrze”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A26" w:rsidRPr="00C41576">
        <w:rPr>
          <w:rFonts w:ascii="Times New Roman" w:hAnsi="Times New Roman" w:cs="Times New Roman"/>
          <w:sz w:val="24"/>
          <w:szCs w:val="24"/>
        </w:rPr>
        <w:t>w wysokości 120.000 zł</w:t>
      </w:r>
      <w:r w:rsidRPr="00C41576">
        <w:rPr>
          <w:rFonts w:ascii="Times New Roman" w:hAnsi="Times New Roman" w:cs="Times New Roman"/>
          <w:sz w:val="24"/>
          <w:szCs w:val="24"/>
        </w:rPr>
        <w:t>,</w:t>
      </w:r>
    </w:p>
    <w:p w14:paraId="0D4ED9C4" w14:textId="68D4125F" w:rsidR="00863A26" w:rsidRPr="00C41576" w:rsidRDefault="00C41576" w:rsidP="00C41576">
      <w:pPr>
        <w:pStyle w:val="Akapitzlist"/>
        <w:widowControl w:val="0"/>
        <w:numPr>
          <w:ilvl w:val="0"/>
          <w:numId w:val="29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1576">
        <w:rPr>
          <w:rFonts w:ascii="Times New Roman" w:hAnsi="Times New Roman" w:cs="Times New Roman"/>
          <w:bCs/>
          <w:sz w:val="24"/>
          <w:szCs w:val="24"/>
        </w:rPr>
        <w:t xml:space="preserve">dofinansowanie zakupu lekkiego samochodu ratowniczo-technicznego z funkcją gaśniczą dla Ochotniczej Straży Pożarnej w Serocku </w:t>
      </w:r>
      <w:r w:rsidR="00863A26" w:rsidRPr="00C41576">
        <w:rPr>
          <w:rFonts w:ascii="Times New Roman" w:hAnsi="Times New Roman" w:cs="Times New Roman"/>
          <w:bCs/>
          <w:sz w:val="24"/>
          <w:szCs w:val="24"/>
        </w:rPr>
        <w:t>w wysokości 80.000 zł</w:t>
      </w:r>
      <w:r w:rsidRPr="00C415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2C83E7" w14:textId="7DCD095C" w:rsidR="004543DE" w:rsidRDefault="004543DE" w:rsidP="004543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8155DC7" w14:textId="5EBAE5BF" w:rsidR="00BE0C23" w:rsidRPr="00D3300B" w:rsidRDefault="004543DE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C23" w:rsidRPr="00D3300B">
        <w:rPr>
          <w:rFonts w:ascii="Times New Roman" w:hAnsi="Times New Roman" w:cs="Times New Roman"/>
          <w:sz w:val="24"/>
          <w:szCs w:val="24"/>
        </w:rPr>
        <w:t>W związku z wprowadzonymi zmianami w budżecie z</w:t>
      </w:r>
      <w:r w:rsidR="00937A62" w:rsidRPr="00D3300B">
        <w:rPr>
          <w:rFonts w:ascii="Times New Roman" w:hAnsi="Times New Roman" w:cs="Times New Roman"/>
          <w:sz w:val="24"/>
          <w:szCs w:val="24"/>
        </w:rPr>
        <w:t>większa</w:t>
      </w:r>
      <w:r w:rsidR="00BE0C23" w:rsidRPr="00D3300B">
        <w:rPr>
          <w:rFonts w:ascii="Times New Roman" w:hAnsi="Times New Roman" w:cs="Times New Roman"/>
          <w:sz w:val="24"/>
          <w:szCs w:val="24"/>
        </w:rPr>
        <w:t xml:space="preserve"> się plan wydatków na rok 202</w:t>
      </w:r>
      <w:r w:rsidR="00937A62" w:rsidRPr="00D3300B">
        <w:rPr>
          <w:rFonts w:ascii="Times New Roman" w:hAnsi="Times New Roman" w:cs="Times New Roman"/>
          <w:sz w:val="24"/>
          <w:szCs w:val="24"/>
        </w:rPr>
        <w:t>1</w:t>
      </w:r>
      <w:r w:rsidR="00BE0C23" w:rsidRPr="00D3300B">
        <w:rPr>
          <w:rFonts w:ascii="Times New Roman" w:hAnsi="Times New Roman" w:cs="Times New Roman"/>
          <w:sz w:val="24"/>
          <w:szCs w:val="24"/>
        </w:rPr>
        <w:t xml:space="preserve">r. o kwotę </w:t>
      </w:r>
      <w:r w:rsidRPr="004543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D3300B" w:rsidRPr="004543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4543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5E2C1A" w:rsidRPr="004543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67</w:t>
      </w:r>
      <w:r w:rsidR="00BE0C23" w:rsidRPr="004543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5E2C1A" w:rsidRPr="004543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203,41</w:t>
      </w:r>
      <w:r w:rsidR="00BE0C23" w:rsidRPr="004543D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zł.,</w:t>
      </w:r>
      <w:r w:rsidR="00BE0C23" w:rsidRPr="004543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0C23" w:rsidRPr="00D3300B">
        <w:rPr>
          <w:rFonts w:ascii="Times New Roman" w:hAnsi="Times New Roman" w:cs="Times New Roman"/>
          <w:sz w:val="24"/>
          <w:szCs w:val="24"/>
        </w:rPr>
        <w:t>na którą składają się:</w:t>
      </w:r>
    </w:p>
    <w:p w14:paraId="26BB6673" w14:textId="6220B8F3" w:rsidR="00BE0C23" w:rsidRPr="00D3300B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6045E" w14:textId="5AB424AB" w:rsidR="00BE0C23" w:rsidRPr="00D3300B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00B">
        <w:rPr>
          <w:rFonts w:ascii="Times New Roman" w:hAnsi="Times New Roman" w:cs="Times New Roman"/>
          <w:sz w:val="24"/>
          <w:szCs w:val="24"/>
        </w:rPr>
        <w:t>1. z</w:t>
      </w:r>
      <w:r w:rsidR="00D3300B" w:rsidRPr="00D3300B">
        <w:rPr>
          <w:rFonts w:ascii="Times New Roman" w:hAnsi="Times New Roman" w:cs="Times New Roman"/>
          <w:sz w:val="24"/>
          <w:szCs w:val="24"/>
        </w:rPr>
        <w:t>większenie</w:t>
      </w:r>
      <w:r w:rsidRPr="00D3300B">
        <w:rPr>
          <w:rFonts w:ascii="Times New Roman" w:hAnsi="Times New Roman" w:cs="Times New Roman"/>
          <w:sz w:val="24"/>
          <w:szCs w:val="24"/>
        </w:rPr>
        <w:t xml:space="preserve"> wydatków bieżących o kwotę </w:t>
      </w:r>
      <w:r w:rsidR="004543DE" w:rsidRPr="004543DE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5E2C1A" w:rsidRPr="004543DE">
        <w:rPr>
          <w:rFonts w:ascii="Times New Roman" w:hAnsi="Times New Roman" w:cs="Times New Roman"/>
          <w:color w:val="FF0000"/>
          <w:sz w:val="24"/>
          <w:szCs w:val="24"/>
        </w:rPr>
        <w:t>63</w:t>
      </w:r>
      <w:r w:rsidR="00D3300B" w:rsidRPr="004543D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E2C1A" w:rsidRPr="004543DE">
        <w:rPr>
          <w:rFonts w:ascii="Times New Roman" w:hAnsi="Times New Roman" w:cs="Times New Roman"/>
          <w:color w:val="FF0000"/>
          <w:sz w:val="24"/>
          <w:szCs w:val="24"/>
        </w:rPr>
        <w:t>703,41</w:t>
      </w:r>
      <w:r w:rsidRPr="004543DE">
        <w:rPr>
          <w:rFonts w:ascii="Times New Roman" w:hAnsi="Times New Roman" w:cs="Times New Roman"/>
          <w:color w:val="FF0000"/>
          <w:sz w:val="24"/>
          <w:szCs w:val="24"/>
        </w:rPr>
        <w:t xml:space="preserve"> zł, </w:t>
      </w:r>
    </w:p>
    <w:p w14:paraId="44F28C00" w14:textId="1DEE973D" w:rsidR="00BE0C23" w:rsidRPr="00D3300B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00B">
        <w:rPr>
          <w:rFonts w:ascii="Times New Roman" w:hAnsi="Times New Roman" w:cs="Times New Roman"/>
          <w:sz w:val="24"/>
          <w:szCs w:val="24"/>
        </w:rPr>
        <w:t>2. z</w:t>
      </w:r>
      <w:r w:rsidR="00937A62" w:rsidRPr="00D3300B">
        <w:rPr>
          <w:rFonts w:ascii="Times New Roman" w:hAnsi="Times New Roman" w:cs="Times New Roman"/>
          <w:sz w:val="24"/>
          <w:szCs w:val="24"/>
        </w:rPr>
        <w:t>większenie</w:t>
      </w:r>
      <w:r w:rsidRPr="00D3300B">
        <w:rPr>
          <w:rFonts w:ascii="Times New Roman" w:hAnsi="Times New Roman" w:cs="Times New Roman"/>
          <w:sz w:val="24"/>
          <w:szCs w:val="24"/>
        </w:rPr>
        <w:t xml:space="preserve"> wydatków majątkowych o kwotę </w:t>
      </w:r>
      <w:r w:rsidR="00D3300B" w:rsidRPr="00D3300B">
        <w:rPr>
          <w:rFonts w:ascii="Times New Roman" w:hAnsi="Times New Roman" w:cs="Times New Roman"/>
          <w:sz w:val="24"/>
          <w:szCs w:val="24"/>
        </w:rPr>
        <w:t>1.5</w:t>
      </w:r>
      <w:r w:rsidR="005E2C1A">
        <w:rPr>
          <w:rFonts w:ascii="Times New Roman" w:hAnsi="Times New Roman" w:cs="Times New Roman"/>
          <w:sz w:val="24"/>
          <w:szCs w:val="24"/>
        </w:rPr>
        <w:t>03</w:t>
      </w:r>
      <w:r w:rsidRPr="00D3300B">
        <w:rPr>
          <w:rFonts w:ascii="Times New Roman" w:hAnsi="Times New Roman" w:cs="Times New Roman"/>
          <w:sz w:val="24"/>
          <w:szCs w:val="24"/>
        </w:rPr>
        <w:t>.</w:t>
      </w:r>
      <w:r w:rsidR="005E2C1A">
        <w:rPr>
          <w:rFonts w:ascii="Times New Roman" w:hAnsi="Times New Roman" w:cs="Times New Roman"/>
          <w:sz w:val="24"/>
          <w:szCs w:val="24"/>
        </w:rPr>
        <w:t>5</w:t>
      </w:r>
      <w:r w:rsidR="00D3300B" w:rsidRPr="00D3300B">
        <w:rPr>
          <w:rFonts w:ascii="Times New Roman" w:hAnsi="Times New Roman" w:cs="Times New Roman"/>
          <w:sz w:val="24"/>
          <w:szCs w:val="24"/>
        </w:rPr>
        <w:t>0</w:t>
      </w:r>
      <w:r w:rsidR="00F82C5A" w:rsidRPr="00D3300B">
        <w:rPr>
          <w:rFonts w:ascii="Times New Roman" w:hAnsi="Times New Roman" w:cs="Times New Roman"/>
          <w:sz w:val="24"/>
          <w:szCs w:val="24"/>
        </w:rPr>
        <w:t>0</w:t>
      </w:r>
      <w:r w:rsidRPr="00D3300B">
        <w:rPr>
          <w:rFonts w:ascii="Times New Roman" w:hAnsi="Times New Roman" w:cs="Times New Roman"/>
          <w:sz w:val="24"/>
          <w:szCs w:val="24"/>
        </w:rPr>
        <w:t xml:space="preserve"> zł, dostosowując nakłady </w:t>
      </w:r>
      <w:r w:rsidRPr="00D3300B">
        <w:rPr>
          <w:rFonts w:ascii="Times New Roman" w:hAnsi="Times New Roman" w:cs="Times New Roman"/>
          <w:sz w:val="24"/>
          <w:szCs w:val="24"/>
        </w:rPr>
        <w:lastRenderedPageBreak/>
        <w:t>finansowe do przewidywanego wykonania wydatków inwestycyjnych.</w:t>
      </w:r>
    </w:p>
    <w:p w14:paraId="42259105" w14:textId="77777777" w:rsidR="004543DE" w:rsidRDefault="004543DE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D9900" w14:textId="4D94F57F" w:rsidR="00BE0C23" w:rsidRPr="00D3300B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300B">
        <w:rPr>
          <w:rFonts w:ascii="Times New Roman" w:hAnsi="Times New Roman" w:cs="Times New Roman"/>
          <w:sz w:val="24"/>
          <w:szCs w:val="24"/>
        </w:rPr>
        <w:t>Po wprowadzeniu powyższych zmian z</w:t>
      </w:r>
      <w:r w:rsidR="00D3300B" w:rsidRPr="00D3300B">
        <w:rPr>
          <w:rFonts w:ascii="Times New Roman" w:hAnsi="Times New Roman" w:cs="Times New Roman"/>
          <w:sz w:val="24"/>
          <w:szCs w:val="24"/>
        </w:rPr>
        <w:t xml:space="preserve">większa </w:t>
      </w:r>
      <w:r w:rsidRPr="00D3300B">
        <w:rPr>
          <w:rFonts w:ascii="Times New Roman" w:hAnsi="Times New Roman" w:cs="Times New Roman"/>
          <w:sz w:val="24"/>
          <w:szCs w:val="24"/>
        </w:rPr>
        <w:t xml:space="preserve">się deficyt budżetu o kwotę </w:t>
      </w:r>
      <w:r w:rsidR="005E2C1A" w:rsidRPr="004543D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3300B" w:rsidRPr="004543D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543DE" w:rsidRPr="004543DE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5E2C1A" w:rsidRPr="004543DE">
        <w:rPr>
          <w:rFonts w:ascii="Times New Roman" w:hAnsi="Times New Roman" w:cs="Times New Roman"/>
          <w:color w:val="FF0000"/>
          <w:sz w:val="24"/>
          <w:szCs w:val="24"/>
        </w:rPr>
        <w:t>91</w:t>
      </w:r>
      <w:r w:rsidRPr="004543D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E2C1A" w:rsidRPr="004543DE">
        <w:rPr>
          <w:rFonts w:ascii="Times New Roman" w:hAnsi="Times New Roman" w:cs="Times New Roman"/>
          <w:color w:val="FF0000"/>
          <w:sz w:val="24"/>
          <w:szCs w:val="24"/>
        </w:rPr>
        <w:t>535,77</w:t>
      </w:r>
      <w:r w:rsidRPr="004543DE">
        <w:rPr>
          <w:rFonts w:ascii="Times New Roman" w:hAnsi="Times New Roman" w:cs="Times New Roman"/>
          <w:color w:val="FF0000"/>
          <w:sz w:val="24"/>
          <w:szCs w:val="24"/>
        </w:rPr>
        <w:t xml:space="preserve"> zł.</w:t>
      </w:r>
    </w:p>
    <w:p w14:paraId="72199981" w14:textId="77777777" w:rsidR="00BE0C23" w:rsidRPr="00D3300B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22DB61" w14:textId="77777777" w:rsidR="00BE0C23" w:rsidRPr="00D3300B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00B">
        <w:rPr>
          <w:rFonts w:ascii="Times New Roman" w:hAnsi="Times New Roman" w:cs="Times New Roman"/>
          <w:sz w:val="24"/>
          <w:szCs w:val="24"/>
        </w:rPr>
        <w:tab/>
        <w:t>Dokonuje się zmian w załączniku nr 2 polegających na dostosowaniu łącznych nakładów finansowych do potrzeb w następujących przedsięwzięciach:</w:t>
      </w:r>
    </w:p>
    <w:p w14:paraId="6346F945" w14:textId="77777777" w:rsidR="00BE0C23" w:rsidRPr="00787F56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994C95" w14:textId="77777777" w:rsidR="006F6540" w:rsidRDefault="00BE0C23" w:rsidP="006F6540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C1412F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C1412F">
        <w:rPr>
          <w:rFonts w:ascii="Times New Roman" w:hAnsi="Times New Roman" w:cs="Times New Roman"/>
          <w:sz w:val="24"/>
          <w:szCs w:val="24"/>
        </w:rPr>
        <w:t>:</w:t>
      </w:r>
    </w:p>
    <w:p w14:paraId="512CDC4E" w14:textId="6A3CC82F" w:rsidR="00C1412F" w:rsidRPr="00C1412F" w:rsidRDefault="006F6540" w:rsidP="006F6540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1412F">
        <w:rPr>
          <w:rFonts w:ascii="Times New Roman" w:hAnsi="Times New Roman" w:cs="Times New Roman"/>
          <w:sz w:val="24"/>
          <w:szCs w:val="24"/>
        </w:rPr>
        <w:t>W</w:t>
      </w:r>
      <w:r w:rsidR="00C1412F" w:rsidRPr="00C1412F">
        <w:rPr>
          <w:rFonts w:ascii="Times New Roman" w:hAnsi="Times New Roman" w:cs="Times New Roman"/>
          <w:sz w:val="24"/>
          <w:szCs w:val="24"/>
        </w:rPr>
        <w:t xml:space="preserve"> związku z rozwiązaniem umowy z Urzędem Marszałkowskim Województwa Mazowieckiego na realizację projektu pn. „Serock i okolice w świetle dawnych dokumentów i fotografii”</w:t>
      </w:r>
      <w:r w:rsidR="00C1412F">
        <w:rPr>
          <w:rFonts w:ascii="Times New Roman" w:hAnsi="Times New Roman" w:cs="Times New Roman"/>
          <w:sz w:val="24"/>
          <w:szCs w:val="24"/>
        </w:rPr>
        <w:t>,</w:t>
      </w:r>
      <w:r w:rsidR="00C1412F" w:rsidRPr="00C1412F">
        <w:rPr>
          <w:rFonts w:ascii="Times New Roman" w:hAnsi="Times New Roman" w:cs="Times New Roman"/>
          <w:sz w:val="24"/>
          <w:szCs w:val="24"/>
        </w:rPr>
        <w:t xml:space="preserve"> </w:t>
      </w:r>
      <w:r w:rsidR="00C1412F">
        <w:rPr>
          <w:rFonts w:ascii="Times New Roman" w:hAnsi="Times New Roman" w:cs="Times New Roman"/>
          <w:sz w:val="24"/>
          <w:szCs w:val="24"/>
        </w:rPr>
        <w:t>rezygnuje się z realizacji w/w zadania w łącznych nakładach 58.631 zł</w:t>
      </w:r>
      <w:r w:rsidR="00C1412F" w:rsidRPr="00C1412F">
        <w:rPr>
          <w:rFonts w:ascii="Times New Roman" w:hAnsi="Times New Roman" w:cs="Times New Roman"/>
          <w:sz w:val="24"/>
          <w:szCs w:val="24"/>
        </w:rPr>
        <w:t xml:space="preserve">. W ramach projektu </w:t>
      </w:r>
      <w:r w:rsidR="00AA37CF">
        <w:rPr>
          <w:rFonts w:ascii="Times New Roman" w:hAnsi="Times New Roman" w:cs="Times New Roman"/>
          <w:sz w:val="24"/>
          <w:szCs w:val="24"/>
        </w:rPr>
        <w:t>za</w:t>
      </w:r>
      <w:r w:rsidR="00C1412F" w:rsidRPr="00C1412F">
        <w:rPr>
          <w:rFonts w:ascii="Times New Roman" w:hAnsi="Times New Roman" w:cs="Times New Roman"/>
          <w:sz w:val="24"/>
          <w:szCs w:val="24"/>
        </w:rPr>
        <w:t>planowano wydanie publikacji historycznej. Jej przygotowanie wymagało pozyskania materiałów źródłowych i ikonograficznych z wielu instytucji państwowych, muzealnych</w:t>
      </w:r>
      <w:r w:rsidR="00C1412F">
        <w:rPr>
          <w:rFonts w:ascii="Times New Roman" w:hAnsi="Times New Roman" w:cs="Times New Roman"/>
          <w:sz w:val="24"/>
          <w:szCs w:val="24"/>
        </w:rPr>
        <w:t xml:space="preserve"> </w:t>
      </w:r>
      <w:r w:rsidR="00C1412F" w:rsidRPr="00C1412F">
        <w:rPr>
          <w:rFonts w:ascii="Times New Roman" w:hAnsi="Times New Roman" w:cs="Times New Roman"/>
          <w:sz w:val="24"/>
          <w:szCs w:val="24"/>
        </w:rPr>
        <w:t xml:space="preserve">i archiwalnych. Z powodu trwającej od 2020 r. pandemii dostęp do tych instytucji był bardzo ograniczony, co uniemożliwiło przeprowadzenie oczekiwanych kwerend historycznych. Brak materiałów historycznych uniemożliwił realizację całej operacji. </w:t>
      </w:r>
    </w:p>
    <w:p w14:paraId="20D5CE95" w14:textId="5D3AAEDE" w:rsidR="006F6540" w:rsidRPr="006F6540" w:rsidRDefault="006F6540" w:rsidP="006F6540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Wprowadza się nowe przedsięwzięcie pn.: </w:t>
      </w:r>
      <w:r w:rsidRPr="006F6540">
        <w:rPr>
          <w:rFonts w:ascii="Times New Roman" w:hAnsi="Times New Roman" w:cs="Times New Roman"/>
          <w:sz w:val="24"/>
          <w:szCs w:val="24"/>
        </w:rPr>
        <w:t>„Odbieranie i zagospodarowanie (odzysk lub unieszkodliwienie) odpadów komunalnych z terenu Miasta i Gminy Serock – Utrzymanie czystości i porządku na terenie 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540">
        <w:rPr>
          <w:rFonts w:ascii="Times New Roman" w:hAnsi="Times New Roman" w:cs="Times New Roman"/>
          <w:sz w:val="24"/>
          <w:szCs w:val="24"/>
        </w:rPr>
        <w:t>i Gminy Serock”</w:t>
      </w:r>
      <w:r w:rsidRPr="006F65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6540">
        <w:rPr>
          <w:rFonts w:ascii="Times New Roman" w:hAnsi="Times New Roman" w:cs="Times New Roman"/>
          <w:sz w:val="24"/>
          <w:szCs w:val="24"/>
        </w:rPr>
        <w:t xml:space="preserve">o łącznych nakładach finansowych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6540">
        <w:rPr>
          <w:rFonts w:ascii="Times New Roman" w:hAnsi="Times New Roman" w:cs="Times New Roman"/>
          <w:sz w:val="24"/>
          <w:szCs w:val="24"/>
        </w:rPr>
        <w:t xml:space="preserve">w wysokości 6.000.000 zł., z uwagi na potrzebę uruchomienia procedury przetargowej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F6540">
        <w:rPr>
          <w:rFonts w:ascii="Times New Roman" w:hAnsi="Times New Roman" w:cs="Times New Roman"/>
          <w:sz w:val="24"/>
          <w:szCs w:val="24"/>
        </w:rPr>
        <w:t xml:space="preserve">w bieżącym roku.  </w:t>
      </w:r>
    </w:p>
    <w:p w14:paraId="23C71615" w14:textId="77777777" w:rsidR="00BE0C23" w:rsidRPr="005E2C1A" w:rsidRDefault="00BE0C23" w:rsidP="00C83C5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02B2A127" w14:textId="77777777" w:rsidR="00BE0C23" w:rsidRPr="006A69A0" w:rsidRDefault="00BE0C23" w:rsidP="00BE0C23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6A69A0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6A69A0">
        <w:rPr>
          <w:rFonts w:ascii="Times New Roman" w:hAnsi="Times New Roman" w:cs="Times New Roman"/>
          <w:sz w:val="24"/>
          <w:szCs w:val="24"/>
        </w:rPr>
        <w:t>:</w:t>
      </w:r>
    </w:p>
    <w:p w14:paraId="3E6649FA" w14:textId="3163C609" w:rsidR="007A0A30" w:rsidRDefault="00B36E03" w:rsidP="000C2F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69A0">
        <w:rPr>
          <w:rFonts w:ascii="Times New Roman" w:hAnsi="Times New Roman" w:cs="Times New Roman"/>
          <w:sz w:val="24"/>
          <w:szCs w:val="24"/>
        </w:rPr>
        <w:t>„</w:t>
      </w:r>
      <w:r w:rsidR="007A0A30" w:rsidRPr="006A69A0">
        <w:rPr>
          <w:rFonts w:ascii="Times New Roman" w:hAnsi="Times New Roman" w:cs="Times New Roman"/>
          <w:sz w:val="24"/>
          <w:szCs w:val="24"/>
        </w:rPr>
        <w:t xml:space="preserve">Budowa magistrali wodociągowej łączącej wieś Dębe z Bolesławowem - Poprawa infrastruktury </w:t>
      </w:r>
      <w:r w:rsidR="007A0A30" w:rsidRPr="0007225E">
        <w:rPr>
          <w:rFonts w:ascii="Times New Roman" w:hAnsi="Times New Roman" w:cs="Times New Roman"/>
          <w:sz w:val="24"/>
          <w:szCs w:val="24"/>
        </w:rPr>
        <w:t>wodociągowej gminy</w:t>
      </w:r>
      <w:r w:rsidR="000C2F54" w:rsidRPr="0007225E">
        <w:rPr>
          <w:rFonts w:ascii="Times New Roman" w:hAnsi="Times New Roman" w:cs="Times New Roman"/>
          <w:sz w:val="24"/>
          <w:szCs w:val="24"/>
        </w:rPr>
        <w:t>”</w:t>
      </w:r>
      <w:r w:rsidR="0007225E" w:rsidRPr="0007225E">
        <w:rPr>
          <w:rFonts w:ascii="Times New Roman" w:hAnsi="Times New Roman" w:cs="Times New Roman"/>
          <w:sz w:val="24"/>
          <w:szCs w:val="24"/>
        </w:rPr>
        <w:t xml:space="preserve"> – zmniejsza się nakłady finansowe w roku 2021 </w:t>
      </w:r>
      <w:r w:rsidR="00AA37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225E" w:rsidRPr="0007225E">
        <w:rPr>
          <w:rFonts w:ascii="Times New Roman" w:hAnsi="Times New Roman" w:cs="Times New Roman"/>
          <w:sz w:val="24"/>
          <w:szCs w:val="24"/>
        </w:rPr>
        <w:t>o kwotę 240.000 zł,</w:t>
      </w:r>
      <w:r w:rsidR="0007225E" w:rsidRPr="000722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25E" w:rsidRPr="0007225E">
        <w:rPr>
          <w:rFonts w:ascii="Times New Roman" w:hAnsi="Times New Roman"/>
          <w:sz w:val="24"/>
          <w:szCs w:val="24"/>
        </w:rPr>
        <w:t>w związku</w:t>
      </w:r>
      <w:r w:rsidR="0007225E" w:rsidRPr="0007225E">
        <w:rPr>
          <w:rFonts w:ascii="Times New Roman" w:hAnsi="Times New Roman" w:cs="Times New Roman"/>
          <w:sz w:val="24"/>
          <w:szCs w:val="24"/>
        </w:rPr>
        <w:t xml:space="preserve"> z uzyskaniem niższej niż planowano oferty w postępowaniu przetargowym na realizację ww. przedsięwzięcia</w:t>
      </w:r>
      <w:r w:rsidR="0007225E">
        <w:rPr>
          <w:rFonts w:ascii="Times New Roman" w:hAnsi="Times New Roman" w:cs="Times New Roman"/>
          <w:sz w:val="24"/>
          <w:szCs w:val="24"/>
        </w:rPr>
        <w:t>,</w:t>
      </w:r>
    </w:p>
    <w:p w14:paraId="117BEA14" w14:textId="7A88F17B" w:rsidR="007A0A30" w:rsidRPr="0007225E" w:rsidRDefault="007A0A30" w:rsidP="000722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25E">
        <w:rPr>
          <w:rFonts w:ascii="Times New Roman" w:hAnsi="Times New Roman" w:cs="Times New Roman"/>
          <w:sz w:val="24"/>
          <w:szCs w:val="24"/>
        </w:rPr>
        <w:t>„Budowa ul. Mickiewicza i ul. Słowackiego w Serocku - Poprawa układu</w:t>
      </w:r>
      <w:r w:rsidR="000C2F54" w:rsidRPr="0007225E">
        <w:rPr>
          <w:rFonts w:ascii="Times New Roman" w:hAnsi="Times New Roman" w:cs="Times New Roman"/>
          <w:sz w:val="24"/>
          <w:szCs w:val="24"/>
        </w:rPr>
        <w:t xml:space="preserve"> </w:t>
      </w:r>
      <w:r w:rsidRPr="0007225E">
        <w:rPr>
          <w:rFonts w:ascii="Times New Roman" w:hAnsi="Times New Roman" w:cs="Times New Roman"/>
          <w:sz w:val="24"/>
          <w:szCs w:val="24"/>
        </w:rPr>
        <w:t>komunikacyjnego na terenie gminy</w:t>
      </w:r>
      <w:r w:rsidR="000C2F54" w:rsidRPr="0007225E">
        <w:rPr>
          <w:rFonts w:ascii="Times New Roman" w:hAnsi="Times New Roman" w:cs="Times New Roman"/>
          <w:sz w:val="24"/>
          <w:szCs w:val="24"/>
        </w:rPr>
        <w:t>”</w:t>
      </w:r>
      <w:r w:rsidR="0007225E" w:rsidRPr="0007225E">
        <w:rPr>
          <w:rFonts w:ascii="Times New Roman" w:hAnsi="Times New Roman" w:cs="Times New Roman"/>
          <w:sz w:val="24"/>
          <w:szCs w:val="24"/>
        </w:rPr>
        <w:t xml:space="preserve"> – zmniejsza się nakłady finansowe w roku 2021 o kwotę 71.000 zł </w:t>
      </w:r>
      <w:r w:rsidR="00AA37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225E" w:rsidRPr="0007225E">
        <w:rPr>
          <w:rFonts w:ascii="Times New Roman" w:hAnsi="Times New Roman" w:cs="Times New Roman"/>
          <w:sz w:val="24"/>
          <w:szCs w:val="24"/>
        </w:rPr>
        <w:t xml:space="preserve">w związku z zakończeniem i rozliczeniem </w:t>
      </w:r>
      <w:r w:rsidR="0007225E">
        <w:rPr>
          <w:rFonts w:ascii="Times New Roman" w:hAnsi="Times New Roman" w:cs="Times New Roman"/>
          <w:sz w:val="24"/>
          <w:szCs w:val="24"/>
        </w:rPr>
        <w:t>zadania,</w:t>
      </w:r>
    </w:p>
    <w:p w14:paraId="5D4C45D5" w14:textId="239BEB41" w:rsidR="007A0A30" w:rsidRPr="000C2F54" w:rsidRDefault="007A0A30" w:rsidP="000C2F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>„Budowa drogi gminnej Jadwisin - Zegrze - Poprawa układu</w:t>
      </w:r>
      <w:r w:rsidR="000C2F54" w:rsidRPr="000C2F54">
        <w:rPr>
          <w:rFonts w:ascii="Times New Roman" w:hAnsi="Times New Roman" w:cs="Times New Roman"/>
          <w:sz w:val="24"/>
          <w:szCs w:val="24"/>
        </w:rPr>
        <w:t xml:space="preserve"> </w:t>
      </w:r>
      <w:r w:rsidRPr="000C2F54">
        <w:rPr>
          <w:rFonts w:ascii="Times New Roman" w:hAnsi="Times New Roman" w:cs="Times New Roman"/>
          <w:sz w:val="24"/>
          <w:szCs w:val="24"/>
        </w:rPr>
        <w:t>komunikacyjnego na terenie gminy</w:t>
      </w:r>
      <w:r w:rsidR="000C2F54" w:rsidRPr="000C2F54">
        <w:rPr>
          <w:rFonts w:ascii="Times New Roman" w:hAnsi="Times New Roman" w:cs="Times New Roman"/>
          <w:sz w:val="24"/>
          <w:szCs w:val="24"/>
        </w:rPr>
        <w:t>”</w:t>
      </w:r>
      <w:r w:rsidR="006A69A0" w:rsidRPr="006A69A0">
        <w:rPr>
          <w:rFonts w:ascii="Times New Roman" w:hAnsi="Times New Roman" w:cs="Times New Roman"/>
          <w:sz w:val="24"/>
          <w:szCs w:val="24"/>
        </w:rPr>
        <w:t xml:space="preserve"> </w:t>
      </w:r>
      <w:r w:rsidR="006A69A0" w:rsidRPr="0007225E">
        <w:rPr>
          <w:rFonts w:ascii="Times New Roman" w:hAnsi="Times New Roman" w:cs="Times New Roman"/>
          <w:sz w:val="24"/>
          <w:szCs w:val="24"/>
        </w:rPr>
        <w:t>– z</w:t>
      </w:r>
      <w:r w:rsidR="006A69A0">
        <w:rPr>
          <w:rFonts w:ascii="Times New Roman" w:hAnsi="Times New Roman" w:cs="Times New Roman"/>
          <w:sz w:val="24"/>
          <w:szCs w:val="24"/>
        </w:rPr>
        <w:t>większa</w:t>
      </w:r>
      <w:r w:rsidR="006A69A0" w:rsidRPr="0007225E">
        <w:rPr>
          <w:rFonts w:ascii="Times New Roman" w:hAnsi="Times New Roman" w:cs="Times New Roman"/>
          <w:sz w:val="24"/>
          <w:szCs w:val="24"/>
        </w:rPr>
        <w:t xml:space="preserve"> się nakłady finansowe w roku 2021 o kwotę </w:t>
      </w:r>
      <w:r w:rsidR="006A69A0" w:rsidRPr="00255C45">
        <w:rPr>
          <w:rFonts w:ascii="Times New Roman" w:hAnsi="Times New Roman" w:cs="Times New Roman"/>
          <w:sz w:val="24"/>
          <w:szCs w:val="24"/>
        </w:rPr>
        <w:t xml:space="preserve">o kwotę 120.000 zł </w:t>
      </w:r>
      <w:r w:rsidR="00AA37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69A0">
        <w:rPr>
          <w:rFonts w:ascii="Times New Roman" w:hAnsi="Times New Roman" w:cs="Times New Roman"/>
          <w:sz w:val="24"/>
          <w:szCs w:val="24"/>
        </w:rPr>
        <w:t xml:space="preserve">w związku z otrzymaniem dofinansowania </w:t>
      </w:r>
      <w:r w:rsidR="006A69A0" w:rsidRPr="00CE5CDC">
        <w:rPr>
          <w:rFonts w:ascii="Times New Roman" w:hAnsi="Times New Roman" w:cs="Times New Roman"/>
          <w:sz w:val="24"/>
          <w:szCs w:val="24"/>
        </w:rPr>
        <w:t>na realizację ww. inwestycji ze środków Województwa Mazowieckiego</w:t>
      </w:r>
      <w:r w:rsidR="006A69A0">
        <w:rPr>
          <w:rFonts w:ascii="Times New Roman" w:hAnsi="Times New Roman" w:cs="Times New Roman"/>
          <w:sz w:val="24"/>
          <w:szCs w:val="24"/>
        </w:rPr>
        <w:t xml:space="preserve"> w ramach Funduszu Ochrony Gruntów Rolnych,</w:t>
      </w:r>
    </w:p>
    <w:p w14:paraId="39E5E2DF" w14:textId="1323A858" w:rsidR="007A0A30" w:rsidRPr="000C2F54" w:rsidRDefault="007A0A30" w:rsidP="000C2F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>„Modernizacja Szkoły Podstawowej w Serocku - Poprawa infrastruktury</w:t>
      </w:r>
      <w:r w:rsidR="000C2F54" w:rsidRPr="000C2F54">
        <w:rPr>
          <w:rFonts w:ascii="Times New Roman" w:hAnsi="Times New Roman" w:cs="Times New Roman"/>
          <w:sz w:val="24"/>
          <w:szCs w:val="24"/>
        </w:rPr>
        <w:t xml:space="preserve"> </w:t>
      </w:r>
      <w:r w:rsidRPr="000C2F54">
        <w:rPr>
          <w:rFonts w:ascii="Times New Roman" w:hAnsi="Times New Roman" w:cs="Times New Roman"/>
          <w:sz w:val="24"/>
          <w:szCs w:val="24"/>
        </w:rPr>
        <w:t>oświatowej gminy</w:t>
      </w:r>
      <w:r w:rsidR="000C2F54" w:rsidRPr="000C2F54">
        <w:rPr>
          <w:rFonts w:ascii="Times New Roman" w:hAnsi="Times New Roman" w:cs="Times New Roman"/>
          <w:sz w:val="24"/>
          <w:szCs w:val="24"/>
        </w:rPr>
        <w:t>”</w:t>
      </w:r>
      <w:r w:rsidR="006A69A0" w:rsidRPr="00CE5CDC">
        <w:rPr>
          <w:rFonts w:ascii="Times New Roman" w:hAnsi="Times New Roman" w:cs="Times New Roman"/>
          <w:sz w:val="24"/>
          <w:szCs w:val="24"/>
        </w:rPr>
        <w:t xml:space="preserve"> </w:t>
      </w:r>
      <w:r w:rsidR="006A69A0" w:rsidRPr="0007225E">
        <w:rPr>
          <w:rFonts w:ascii="Times New Roman" w:hAnsi="Times New Roman" w:cs="Times New Roman"/>
          <w:sz w:val="24"/>
          <w:szCs w:val="24"/>
        </w:rPr>
        <w:t xml:space="preserve">– zmniejsza się nakłady finansowe w roku 2021 </w:t>
      </w:r>
      <w:r w:rsidR="006A69A0" w:rsidRPr="00CE5CDC">
        <w:rPr>
          <w:rFonts w:ascii="Times New Roman" w:hAnsi="Times New Roman" w:cs="Times New Roman"/>
          <w:sz w:val="24"/>
          <w:szCs w:val="24"/>
        </w:rPr>
        <w:t xml:space="preserve">o kwotę 71.000 zł w związku </w:t>
      </w:r>
      <w:r w:rsidR="00AA37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A69A0" w:rsidRPr="00CE5CDC">
        <w:rPr>
          <w:rFonts w:ascii="Times New Roman" w:hAnsi="Times New Roman" w:cs="Times New Roman"/>
          <w:sz w:val="24"/>
          <w:szCs w:val="24"/>
        </w:rPr>
        <w:t xml:space="preserve">z zakończeniem i rozliczeniem </w:t>
      </w:r>
      <w:r w:rsidR="006A69A0">
        <w:rPr>
          <w:rFonts w:ascii="Times New Roman" w:hAnsi="Times New Roman" w:cs="Times New Roman"/>
          <w:sz w:val="24"/>
          <w:szCs w:val="24"/>
        </w:rPr>
        <w:t>zadania,</w:t>
      </w:r>
    </w:p>
    <w:p w14:paraId="005D9C5D" w14:textId="66E9051C" w:rsidR="007A0A30" w:rsidRPr="000C2F54" w:rsidRDefault="000C2F54" w:rsidP="000C2F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 xml:space="preserve">„Budowa punktów świetlnych Łacha ul. </w:t>
      </w:r>
      <w:proofErr w:type="spellStart"/>
      <w:r w:rsidRPr="000C2F54">
        <w:rPr>
          <w:rFonts w:ascii="Times New Roman" w:hAnsi="Times New Roman" w:cs="Times New Roman"/>
          <w:sz w:val="24"/>
          <w:szCs w:val="24"/>
        </w:rPr>
        <w:t>Wedmana</w:t>
      </w:r>
      <w:proofErr w:type="spellEnd"/>
      <w:r w:rsidRPr="000C2F54">
        <w:rPr>
          <w:rFonts w:ascii="Times New Roman" w:hAnsi="Times New Roman" w:cs="Times New Roman"/>
          <w:sz w:val="24"/>
          <w:szCs w:val="24"/>
        </w:rPr>
        <w:t xml:space="preserve"> - oświetlenie drogi gminnej - Poprawa bezpieczeństwa w ruchu drogowym”</w:t>
      </w:r>
      <w:r w:rsidR="006A69A0" w:rsidRPr="006A69A0">
        <w:rPr>
          <w:rFonts w:ascii="Times New Roman" w:hAnsi="Times New Roman" w:cs="Times New Roman"/>
          <w:sz w:val="24"/>
          <w:szCs w:val="24"/>
        </w:rPr>
        <w:t xml:space="preserve"> </w:t>
      </w:r>
      <w:r w:rsidR="006A69A0" w:rsidRPr="0007225E">
        <w:rPr>
          <w:rFonts w:ascii="Times New Roman" w:hAnsi="Times New Roman" w:cs="Times New Roman"/>
          <w:sz w:val="24"/>
          <w:szCs w:val="24"/>
        </w:rPr>
        <w:t>– zmniejsza się nakłady finansowe w roku 2021</w:t>
      </w:r>
      <w:r w:rsidR="00AA37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69A0" w:rsidRPr="0007225E">
        <w:rPr>
          <w:rFonts w:ascii="Times New Roman" w:hAnsi="Times New Roman" w:cs="Times New Roman"/>
          <w:sz w:val="24"/>
          <w:szCs w:val="24"/>
        </w:rPr>
        <w:t xml:space="preserve"> </w:t>
      </w:r>
      <w:r w:rsidR="006A69A0" w:rsidRPr="00CE5CDC">
        <w:rPr>
          <w:rFonts w:ascii="Times New Roman" w:hAnsi="Times New Roman" w:cs="Times New Roman"/>
          <w:sz w:val="24"/>
          <w:szCs w:val="24"/>
        </w:rPr>
        <w:t>o kwotę 7.000 zł z uwagi na uzyskanie niższej od zaplanowanych oferty w postępowaniu przetargowym,</w:t>
      </w:r>
    </w:p>
    <w:p w14:paraId="44E7A83F" w14:textId="26863B80" w:rsidR="000C2F54" w:rsidRPr="000C2F54" w:rsidRDefault="000C2F54" w:rsidP="000C2F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>„Budowa punktów świetlnych Jachranka - Izbica - oświetlenie drogi gminnej - Poprawa bezpieczeństwa w ruchu drogowym”</w:t>
      </w:r>
      <w:r w:rsidR="006A69A0" w:rsidRPr="006A69A0">
        <w:rPr>
          <w:rFonts w:ascii="Times New Roman" w:hAnsi="Times New Roman" w:cs="Times New Roman"/>
          <w:sz w:val="24"/>
          <w:szCs w:val="24"/>
        </w:rPr>
        <w:t xml:space="preserve"> </w:t>
      </w:r>
      <w:r w:rsidR="006A69A0" w:rsidRPr="0007225E">
        <w:rPr>
          <w:rFonts w:ascii="Times New Roman" w:hAnsi="Times New Roman" w:cs="Times New Roman"/>
          <w:sz w:val="24"/>
          <w:szCs w:val="24"/>
        </w:rPr>
        <w:t>– zmniejsza się nakłady finansowe w roku 2021</w:t>
      </w:r>
      <w:r w:rsidR="006A69A0" w:rsidRPr="006A69A0">
        <w:rPr>
          <w:rFonts w:ascii="Times New Roman" w:hAnsi="Times New Roman" w:cs="Times New Roman"/>
          <w:sz w:val="24"/>
          <w:szCs w:val="24"/>
        </w:rPr>
        <w:t xml:space="preserve"> </w:t>
      </w:r>
      <w:r w:rsidR="00AA37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69A0" w:rsidRPr="00CE5CDC">
        <w:rPr>
          <w:rFonts w:ascii="Times New Roman" w:hAnsi="Times New Roman" w:cs="Times New Roman"/>
          <w:sz w:val="24"/>
          <w:szCs w:val="24"/>
        </w:rPr>
        <w:t>o kwotę 72.000 zł, z uwagi na zakończenie i rozliczenie inwestycji,</w:t>
      </w:r>
    </w:p>
    <w:p w14:paraId="49490A50" w14:textId="500B9BB1" w:rsidR="000C2F54" w:rsidRPr="000C2F54" w:rsidRDefault="000C2F54" w:rsidP="000C2F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>„Budowa punktów świetlnych Izbica ul. Zachodnia - oświetlenie drogi gminnej - Poprawa bezpieczeństwa w ruchu drogowym”</w:t>
      </w:r>
      <w:r w:rsidR="006A69A0" w:rsidRPr="006A69A0">
        <w:rPr>
          <w:rFonts w:ascii="Times New Roman" w:hAnsi="Times New Roman" w:cs="Times New Roman"/>
          <w:sz w:val="24"/>
          <w:szCs w:val="24"/>
        </w:rPr>
        <w:t xml:space="preserve"> </w:t>
      </w:r>
      <w:r w:rsidR="006A69A0" w:rsidRPr="0007225E">
        <w:rPr>
          <w:rFonts w:ascii="Times New Roman" w:hAnsi="Times New Roman" w:cs="Times New Roman"/>
          <w:sz w:val="24"/>
          <w:szCs w:val="24"/>
        </w:rPr>
        <w:t>– zmniejsza się nakłady finansowe w roku 2021</w:t>
      </w:r>
      <w:r w:rsidR="006A69A0" w:rsidRPr="006A69A0">
        <w:rPr>
          <w:rFonts w:ascii="Times New Roman" w:hAnsi="Times New Roman" w:cs="Times New Roman"/>
          <w:sz w:val="24"/>
          <w:szCs w:val="24"/>
        </w:rPr>
        <w:t xml:space="preserve"> </w:t>
      </w:r>
      <w:r w:rsidR="006A69A0" w:rsidRPr="00CE5CDC">
        <w:rPr>
          <w:rFonts w:ascii="Times New Roman" w:hAnsi="Times New Roman" w:cs="Times New Roman"/>
          <w:sz w:val="24"/>
          <w:szCs w:val="24"/>
        </w:rPr>
        <w:t>o kwotę 10.000 zł z uwagi na uzyskanie niższej od zaplanowanych oferty w postępowaniu przetargowym</w:t>
      </w:r>
      <w:r w:rsidR="006A69A0">
        <w:rPr>
          <w:rFonts w:ascii="Times New Roman" w:hAnsi="Times New Roman" w:cs="Times New Roman"/>
          <w:sz w:val="24"/>
          <w:szCs w:val="24"/>
        </w:rPr>
        <w:t>,</w:t>
      </w:r>
    </w:p>
    <w:p w14:paraId="13C8217B" w14:textId="215C451B" w:rsidR="000C2F54" w:rsidRPr="000C2F54" w:rsidRDefault="000C2F54" w:rsidP="000C2F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>„Budowa punktów świetlnych Dosin ul. Piękna - oświetlenie drogi gminnej - Poprawa bezpieczeństwa w ruchu drogowym”</w:t>
      </w:r>
      <w:r w:rsidR="006A69A0" w:rsidRPr="006A69A0">
        <w:rPr>
          <w:rFonts w:ascii="Times New Roman" w:hAnsi="Times New Roman" w:cs="Times New Roman"/>
          <w:sz w:val="24"/>
          <w:szCs w:val="24"/>
        </w:rPr>
        <w:t xml:space="preserve"> </w:t>
      </w:r>
      <w:r w:rsidR="006A69A0" w:rsidRPr="0007225E">
        <w:rPr>
          <w:rFonts w:ascii="Times New Roman" w:hAnsi="Times New Roman" w:cs="Times New Roman"/>
          <w:sz w:val="24"/>
          <w:szCs w:val="24"/>
        </w:rPr>
        <w:t>– zmniejsza się nakłady finansowe w roku 2021</w:t>
      </w:r>
      <w:r w:rsidR="00AA37CF" w:rsidRPr="00AA37CF">
        <w:rPr>
          <w:rFonts w:ascii="Times New Roman" w:hAnsi="Times New Roman" w:cs="Times New Roman"/>
          <w:sz w:val="24"/>
          <w:szCs w:val="24"/>
        </w:rPr>
        <w:t xml:space="preserve"> </w:t>
      </w:r>
      <w:r w:rsidR="00AA37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37CF" w:rsidRPr="00CE5CDC">
        <w:rPr>
          <w:rFonts w:ascii="Times New Roman" w:hAnsi="Times New Roman" w:cs="Times New Roman"/>
          <w:sz w:val="24"/>
          <w:szCs w:val="24"/>
        </w:rPr>
        <w:lastRenderedPageBreak/>
        <w:t>o kwotę 12.000 zł z uwagi na uzyskanie niższej od zaplanowanych oferty w postępowaniu przetargowym</w:t>
      </w:r>
      <w:r w:rsidR="00AA37CF">
        <w:rPr>
          <w:rFonts w:ascii="Times New Roman" w:hAnsi="Times New Roman" w:cs="Times New Roman"/>
          <w:sz w:val="24"/>
          <w:szCs w:val="24"/>
        </w:rPr>
        <w:t>.</w:t>
      </w:r>
    </w:p>
    <w:p w14:paraId="430EBE2E" w14:textId="47D513E0" w:rsidR="006A69A0" w:rsidRPr="00AA37CF" w:rsidRDefault="00B26B9F" w:rsidP="00AA3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A0">
        <w:rPr>
          <w:rFonts w:ascii="Times New Roman" w:hAnsi="Times New Roman" w:cs="Times New Roman"/>
          <w:sz w:val="24"/>
          <w:szCs w:val="24"/>
        </w:rPr>
        <w:t>Wprowadza się nowe przedsięwzięcia pn.:</w:t>
      </w:r>
      <w:r w:rsidR="00AA37CF">
        <w:rPr>
          <w:rFonts w:ascii="Times New Roman" w:hAnsi="Times New Roman" w:cs="Times New Roman"/>
          <w:sz w:val="24"/>
          <w:szCs w:val="24"/>
        </w:rPr>
        <w:t xml:space="preserve"> </w:t>
      </w:r>
      <w:r w:rsidR="006A69A0" w:rsidRPr="00AA37CF">
        <w:rPr>
          <w:rFonts w:ascii="Times New Roman" w:hAnsi="Times New Roman" w:cs="Times New Roman"/>
          <w:sz w:val="24"/>
          <w:szCs w:val="24"/>
        </w:rPr>
        <w:t xml:space="preserve">„Budowa drogi gminnej dz. ew. nr 1/8, 57/3, 63/3 </w:t>
      </w:r>
      <w:proofErr w:type="spellStart"/>
      <w:r w:rsidR="006A69A0" w:rsidRPr="00AA37CF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6A69A0" w:rsidRPr="00AA37CF">
        <w:rPr>
          <w:rFonts w:ascii="Times New Roman" w:hAnsi="Times New Roman" w:cs="Times New Roman"/>
          <w:sz w:val="24"/>
          <w:szCs w:val="24"/>
        </w:rPr>
        <w:t>. 13 w Serocku - Poprawa układu komunikacyjnego na terenie gminy” na lata 2021 – 2023 o łącznych nakładach 450.000 zł. Budowa drogi została zaplanowana z uwagi na rozwój strefy przemysłowej.</w:t>
      </w:r>
    </w:p>
    <w:p w14:paraId="574D0CD3" w14:textId="77777777" w:rsidR="00B26B9F" w:rsidRPr="005E2C1A" w:rsidRDefault="00B26B9F" w:rsidP="00B2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B651C8" w14:textId="50B03B65" w:rsidR="00070CDA" w:rsidRPr="005E2C1A" w:rsidRDefault="00070CDA" w:rsidP="00B36E0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70CDA" w:rsidRPr="005E2C1A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C42B" w14:textId="77777777" w:rsidR="00C54FEE" w:rsidRDefault="00C54FEE" w:rsidP="008C3ED4">
      <w:pPr>
        <w:spacing w:after="0" w:line="240" w:lineRule="auto"/>
      </w:pPr>
      <w:r>
        <w:separator/>
      </w:r>
    </w:p>
  </w:endnote>
  <w:endnote w:type="continuationSeparator" w:id="0">
    <w:p w14:paraId="6BAB6FE2" w14:textId="77777777" w:rsidR="00C54FEE" w:rsidRDefault="00C54FEE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BE3D" w14:textId="77777777" w:rsidR="00C54FEE" w:rsidRDefault="00C54FEE" w:rsidP="008C3ED4">
      <w:pPr>
        <w:spacing w:after="0" w:line="240" w:lineRule="auto"/>
      </w:pPr>
      <w:r>
        <w:separator/>
      </w:r>
    </w:p>
  </w:footnote>
  <w:footnote w:type="continuationSeparator" w:id="0">
    <w:p w14:paraId="225DF5C8" w14:textId="77777777" w:rsidR="00C54FEE" w:rsidRDefault="00C54FEE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26A4161"/>
    <w:multiLevelType w:val="hybridMultilevel"/>
    <w:tmpl w:val="F0988C1E"/>
    <w:lvl w:ilvl="0" w:tplc="6E067F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071C9"/>
    <w:multiLevelType w:val="hybridMultilevel"/>
    <w:tmpl w:val="F142F4A8"/>
    <w:lvl w:ilvl="0" w:tplc="0415000B">
      <w:start w:val="1"/>
      <w:numFmt w:val="bullet"/>
      <w:lvlText w:val=""/>
      <w:lvlJc w:val="left"/>
      <w:pPr>
        <w:ind w:left="1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6" w15:restartNumberingAfterBreak="0">
    <w:nsid w:val="0FB54DDE"/>
    <w:multiLevelType w:val="hybridMultilevel"/>
    <w:tmpl w:val="F3DCE9D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61C2"/>
    <w:multiLevelType w:val="hybridMultilevel"/>
    <w:tmpl w:val="29E20FF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E4753"/>
    <w:multiLevelType w:val="hybridMultilevel"/>
    <w:tmpl w:val="4E1AC84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B52EE"/>
    <w:multiLevelType w:val="hybridMultilevel"/>
    <w:tmpl w:val="737619F0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E111B34"/>
    <w:multiLevelType w:val="hybridMultilevel"/>
    <w:tmpl w:val="D7B02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078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B79C2"/>
    <w:multiLevelType w:val="hybridMultilevel"/>
    <w:tmpl w:val="BC92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83473"/>
    <w:multiLevelType w:val="hybridMultilevel"/>
    <w:tmpl w:val="BA40BA16"/>
    <w:lvl w:ilvl="0" w:tplc="7E7E2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53921"/>
    <w:multiLevelType w:val="hybridMultilevel"/>
    <w:tmpl w:val="C7D6EE9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866F3"/>
    <w:multiLevelType w:val="hybridMultilevel"/>
    <w:tmpl w:val="208E4C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45553"/>
    <w:multiLevelType w:val="hybridMultilevel"/>
    <w:tmpl w:val="379A9C28"/>
    <w:lvl w:ilvl="0" w:tplc="0415000D">
      <w:start w:val="1"/>
      <w:numFmt w:val="bullet"/>
      <w:lvlText w:val=""/>
      <w:lvlJc w:val="left"/>
      <w:pPr>
        <w:ind w:left="10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32A64310"/>
    <w:multiLevelType w:val="hybridMultilevel"/>
    <w:tmpl w:val="FCFE2CEC"/>
    <w:lvl w:ilvl="0" w:tplc="0415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8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B506BB"/>
    <w:multiLevelType w:val="hybridMultilevel"/>
    <w:tmpl w:val="B1FCC18A"/>
    <w:lvl w:ilvl="0" w:tplc="1C9E39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37475DC1"/>
    <w:multiLevelType w:val="hybridMultilevel"/>
    <w:tmpl w:val="0E7E45A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92AE7"/>
    <w:multiLevelType w:val="hybridMultilevel"/>
    <w:tmpl w:val="5390531A"/>
    <w:lvl w:ilvl="0" w:tplc="CE449F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8BF0401"/>
    <w:multiLevelType w:val="hybridMultilevel"/>
    <w:tmpl w:val="B192C630"/>
    <w:lvl w:ilvl="0" w:tplc="3EE4004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E01611"/>
    <w:multiLevelType w:val="hybridMultilevel"/>
    <w:tmpl w:val="7B446F5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92BAC"/>
    <w:multiLevelType w:val="hybridMultilevel"/>
    <w:tmpl w:val="261663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81E90"/>
    <w:multiLevelType w:val="hybridMultilevel"/>
    <w:tmpl w:val="4B8214D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50039"/>
    <w:multiLevelType w:val="hybridMultilevel"/>
    <w:tmpl w:val="85AEC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11B99"/>
    <w:multiLevelType w:val="hybridMultilevel"/>
    <w:tmpl w:val="8CB695E0"/>
    <w:lvl w:ilvl="0" w:tplc="CE449FFA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8" w15:restartNumberingAfterBreak="0">
    <w:nsid w:val="5AAE0450"/>
    <w:multiLevelType w:val="hybridMultilevel"/>
    <w:tmpl w:val="756EA1C6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 w15:restartNumberingAfterBreak="0">
    <w:nsid w:val="5D221993"/>
    <w:multiLevelType w:val="hybridMultilevel"/>
    <w:tmpl w:val="46361876"/>
    <w:lvl w:ilvl="0" w:tplc="5928CB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F4022"/>
    <w:multiLevelType w:val="hybridMultilevel"/>
    <w:tmpl w:val="17208C2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9"/>
  </w:num>
  <w:num w:numId="10">
    <w:abstractNumId w:val="28"/>
  </w:num>
  <w:num w:numId="11">
    <w:abstractNumId w:val="27"/>
  </w:num>
  <w:num w:numId="12">
    <w:abstractNumId w:val="17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4"/>
  </w:num>
  <w:num w:numId="18">
    <w:abstractNumId w:val="15"/>
  </w:num>
  <w:num w:numId="19">
    <w:abstractNumId w:val="8"/>
  </w:num>
  <w:num w:numId="20">
    <w:abstractNumId w:val="25"/>
  </w:num>
  <w:num w:numId="21">
    <w:abstractNumId w:val="23"/>
  </w:num>
  <w:num w:numId="22">
    <w:abstractNumId w:val="7"/>
  </w:num>
  <w:num w:numId="23">
    <w:abstractNumId w:val="11"/>
  </w:num>
  <w:num w:numId="24">
    <w:abstractNumId w:val="14"/>
  </w:num>
  <w:num w:numId="25">
    <w:abstractNumId w:val="6"/>
  </w:num>
  <w:num w:numId="26">
    <w:abstractNumId w:val="30"/>
  </w:num>
  <w:num w:numId="27">
    <w:abstractNumId w:val="16"/>
  </w:num>
  <w:num w:numId="28">
    <w:abstractNumId w:val="5"/>
  </w:num>
  <w:num w:numId="29">
    <w:abstractNumId w:val="9"/>
  </w:num>
  <w:num w:numId="30">
    <w:abstractNumId w:val="4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11E36"/>
    <w:rsid w:val="00043F8B"/>
    <w:rsid w:val="000503D2"/>
    <w:rsid w:val="0006178D"/>
    <w:rsid w:val="00070CDA"/>
    <w:rsid w:val="0007225E"/>
    <w:rsid w:val="00093722"/>
    <w:rsid w:val="000A5A24"/>
    <w:rsid w:val="000C2F54"/>
    <w:rsid w:val="000F216E"/>
    <w:rsid w:val="00175204"/>
    <w:rsid w:val="001A1AF2"/>
    <w:rsid w:val="001B4328"/>
    <w:rsid w:val="001E3741"/>
    <w:rsid w:val="00221AED"/>
    <w:rsid w:val="00257F47"/>
    <w:rsid w:val="00262C5C"/>
    <w:rsid w:val="0029581A"/>
    <w:rsid w:val="002B6B0E"/>
    <w:rsid w:val="002D4133"/>
    <w:rsid w:val="003045FF"/>
    <w:rsid w:val="00334674"/>
    <w:rsid w:val="00340D02"/>
    <w:rsid w:val="003453F9"/>
    <w:rsid w:val="00393C44"/>
    <w:rsid w:val="003B7BFD"/>
    <w:rsid w:val="003C69C3"/>
    <w:rsid w:val="003E2ED0"/>
    <w:rsid w:val="004063F5"/>
    <w:rsid w:val="00434213"/>
    <w:rsid w:val="004543DE"/>
    <w:rsid w:val="0047660D"/>
    <w:rsid w:val="004940A6"/>
    <w:rsid w:val="004A2933"/>
    <w:rsid w:val="004A77A1"/>
    <w:rsid w:val="004A7F34"/>
    <w:rsid w:val="00526428"/>
    <w:rsid w:val="0056248E"/>
    <w:rsid w:val="005802CC"/>
    <w:rsid w:val="005A062E"/>
    <w:rsid w:val="005C7A85"/>
    <w:rsid w:val="005E2C1A"/>
    <w:rsid w:val="00605AED"/>
    <w:rsid w:val="00633670"/>
    <w:rsid w:val="006510AA"/>
    <w:rsid w:val="006650ED"/>
    <w:rsid w:val="00666063"/>
    <w:rsid w:val="00673333"/>
    <w:rsid w:val="006A4B06"/>
    <w:rsid w:val="006A69A0"/>
    <w:rsid w:val="006B612F"/>
    <w:rsid w:val="006C652E"/>
    <w:rsid w:val="006F6540"/>
    <w:rsid w:val="007357A9"/>
    <w:rsid w:val="0077176E"/>
    <w:rsid w:val="007827D7"/>
    <w:rsid w:val="00787F56"/>
    <w:rsid w:val="007A0A30"/>
    <w:rsid w:val="007B1F43"/>
    <w:rsid w:val="008118ED"/>
    <w:rsid w:val="0082178A"/>
    <w:rsid w:val="008307E5"/>
    <w:rsid w:val="0084108D"/>
    <w:rsid w:val="00854B89"/>
    <w:rsid w:val="00855203"/>
    <w:rsid w:val="00863A26"/>
    <w:rsid w:val="00874FFE"/>
    <w:rsid w:val="008926BE"/>
    <w:rsid w:val="008A44BA"/>
    <w:rsid w:val="008B5FBD"/>
    <w:rsid w:val="008C3ED4"/>
    <w:rsid w:val="008E26C3"/>
    <w:rsid w:val="00924DC1"/>
    <w:rsid w:val="00934ECC"/>
    <w:rsid w:val="00937A62"/>
    <w:rsid w:val="00976256"/>
    <w:rsid w:val="009777AB"/>
    <w:rsid w:val="00995D6F"/>
    <w:rsid w:val="009A2007"/>
    <w:rsid w:val="009B41AD"/>
    <w:rsid w:val="009C5BFF"/>
    <w:rsid w:val="009E4418"/>
    <w:rsid w:val="009E71F3"/>
    <w:rsid w:val="00A660E6"/>
    <w:rsid w:val="00AA37CF"/>
    <w:rsid w:val="00AC5621"/>
    <w:rsid w:val="00AF4271"/>
    <w:rsid w:val="00B26B9F"/>
    <w:rsid w:val="00B36A37"/>
    <w:rsid w:val="00B36E03"/>
    <w:rsid w:val="00B912BC"/>
    <w:rsid w:val="00BE0C23"/>
    <w:rsid w:val="00BF15B7"/>
    <w:rsid w:val="00C06578"/>
    <w:rsid w:val="00C1412F"/>
    <w:rsid w:val="00C308B6"/>
    <w:rsid w:val="00C41576"/>
    <w:rsid w:val="00C431AE"/>
    <w:rsid w:val="00C54FEE"/>
    <w:rsid w:val="00C83C50"/>
    <w:rsid w:val="00C96093"/>
    <w:rsid w:val="00C97A47"/>
    <w:rsid w:val="00CA2E4A"/>
    <w:rsid w:val="00CB3ECE"/>
    <w:rsid w:val="00CD52F2"/>
    <w:rsid w:val="00CE6B26"/>
    <w:rsid w:val="00D00CB7"/>
    <w:rsid w:val="00D171C1"/>
    <w:rsid w:val="00D24E0A"/>
    <w:rsid w:val="00D3300B"/>
    <w:rsid w:val="00D72317"/>
    <w:rsid w:val="00D83928"/>
    <w:rsid w:val="00D92EF2"/>
    <w:rsid w:val="00DB44A4"/>
    <w:rsid w:val="00DF2601"/>
    <w:rsid w:val="00E05932"/>
    <w:rsid w:val="00E5515F"/>
    <w:rsid w:val="00E719E0"/>
    <w:rsid w:val="00E71D8D"/>
    <w:rsid w:val="00E75A05"/>
    <w:rsid w:val="00E86F34"/>
    <w:rsid w:val="00ED0F4D"/>
    <w:rsid w:val="00F06A45"/>
    <w:rsid w:val="00F14B3F"/>
    <w:rsid w:val="00F3161A"/>
    <w:rsid w:val="00F42C0A"/>
    <w:rsid w:val="00F82C5A"/>
    <w:rsid w:val="00F90C62"/>
    <w:rsid w:val="00FC397B"/>
    <w:rsid w:val="00FD4432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F6B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6B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D774-F506-4E99-A1AB-CF72E3D0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7</Pages>
  <Words>2551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66</cp:revision>
  <cp:lastPrinted>2021-04-22T10:27:00Z</cp:lastPrinted>
  <dcterms:created xsi:type="dcterms:W3CDTF">2020-11-05T11:21:00Z</dcterms:created>
  <dcterms:modified xsi:type="dcterms:W3CDTF">2021-06-28T10:28:00Z</dcterms:modified>
</cp:coreProperties>
</file>