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4C2F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170B609F" w14:textId="206B45CF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2A867A6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04134B3B" w14:textId="01EA9BE5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7339C4E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59A1" w14:textId="77777777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B5C8" w14:textId="453FBCDE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3DF5A7CD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3DEA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0CDAF6B4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70FD0" w14:textId="156BAC44" w:rsidR="00CB3ECE" w:rsidRPr="00666063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8E26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6063" w:rsidRPr="006660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ED4"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6660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063" w:rsidRPr="0066606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666FC9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47F6" w14:textId="77777777" w:rsidR="00CB3ECE" w:rsidRPr="00E86F34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8F51" w14:textId="53B67F52" w:rsidR="00CB3ECE" w:rsidRPr="00E86F34" w:rsidRDefault="00E86F34" w:rsidP="00E86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F34">
        <w:rPr>
          <w:rFonts w:ascii="Times New Roman" w:hAnsi="Times New Roman" w:cs="Times New Roman"/>
          <w:sz w:val="24"/>
          <w:szCs w:val="24"/>
        </w:rPr>
        <w:t xml:space="preserve">Wieloletnia prognoza finansowa Miasta i Gminy Serock została sporządzona zgodnie z art. 226 – 232 ustawy o finansach publicznych z dnia 27.08.2009r. i </w:t>
      </w:r>
      <w:r w:rsidR="00D92EF2" w:rsidRPr="00E86F34">
        <w:rPr>
          <w:rFonts w:ascii="Times New Roman" w:hAnsi="Times New Roman" w:cs="Times New Roman"/>
          <w:sz w:val="24"/>
          <w:szCs w:val="24"/>
        </w:rPr>
        <w:t>obejmuje lata 20</w:t>
      </w:r>
      <w:r w:rsidR="000069BE" w:rsidRPr="00E86F34">
        <w:rPr>
          <w:rFonts w:ascii="Times New Roman" w:hAnsi="Times New Roman" w:cs="Times New Roman"/>
          <w:sz w:val="24"/>
          <w:szCs w:val="24"/>
        </w:rPr>
        <w:t>2</w:t>
      </w:r>
      <w:r w:rsidR="008E26C3">
        <w:rPr>
          <w:rFonts w:ascii="Times New Roman" w:hAnsi="Times New Roman" w:cs="Times New Roman"/>
          <w:sz w:val="24"/>
          <w:szCs w:val="24"/>
        </w:rPr>
        <w:t>1</w:t>
      </w:r>
      <w:r w:rsidR="008C3ED4" w:rsidRPr="00E86F34">
        <w:rPr>
          <w:rFonts w:ascii="Times New Roman" w:hAnsi="Times New Roman" w:cs="Times New Roman"/>
          <w:sz w:val="24"/>
          <w:szCs w:val="24"/>
        </w:rPr>
        <w:t>– 20</w:t>
      </w:r>
      <w:r w:rsidR="000069BE" w:rsidRPr="00E86F34">
        <w:rPr>
          <w:rFonts w:ascii="Times New Roman" w:hAnsi="Times New Roman" w:cs="Times New Roman"/>
          <w:sz w:val="24"/>
          <w:szCs w:val="24"/>
        </w:rPr>
        <w:t>3</w:t>
      </w:r>
      <w:r w:rsidR="008E26C3">
        <w:rPr>
          <w:rFonts w:ascii="Times New Roman" w:hAnsi="Times New Roman" w:cs="Times New Roman"/>
          <w:sz w:val="24"/>
          <w:szCs w:val="24"/>
        </w:rPr>
        <w:t>6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E86F34">
        <w:rPr>
          <w:rFonts w:ascii="Times New Roman" w:hAnsi="Times New Roman" w:cs="Times New Roman"/>
          <w:sz w:val="24"/>
          <w:szCs w:val="24"/>
        </w:rPr>
        <w:t>się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E86F34">
        <w:rPr>
          <w:rFonts w:ascii="Times New Roman" w:hAnsi="Times New Roman" w:cs="Times New Roman"/>
          <w:sz w:val="24"/>
          <w:szCs w:val="24"/>
        </w:rPr>
        <w:t>spłaty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E86F34">
        <w:rPr>
          <w:rFonts w:ascii="Times New Roman" w:hAnsi="Times New Roman" w:cs="Times New Roman"/>
          <w:sz w:val="24"/>
          <w:szCs w:val="24"/>
        </w:rPr>
        <w:t>zaciągnięcia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39DB064B" w14:textId="77777777" w:rsidR="00340D02" w:rsidRPr="00666063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28D4C6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21B9E1F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926E" w14:textId="3743A282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F06A45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1D4178E7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73C801F8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6A45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5B006EF1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3AAD0A76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1B7734D3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473241F7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8D39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F06A45">
        <w:rPr>
          <w:rFonts w:ascii="Times New Roman" w:hAnsi="Times New Roman" w:cs="Times New Roman"/>
          <w:sz w:val="24"/>
          <w:szCs w:val="24"/>
        </w:rPr>
        <w:t>przedsiębiorców</w:t>
      </w:r>
      <w:r w:rsidRPr="00F06A45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F06A45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F06A45">
        <w:rPr>
          <w:rFonts w:ascii="Times New Roman" w:hAnsi="Times New Roman" w:cs="Times New Roman"/>
          <w:sz w:val="24"/>
          <w:szCs w:val="24"/>
        </w:rPr>
        <w:t>, który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F06A45">
        <w:rPr>
          <w:rFonts w:ascii="Times New Roman" w:hAnsi="Times New Roman" w:cs="Times New Roman"/>
          <w:sz w:val="24"/>
          <w:szCs w:val="24"/>
        </w:rPr>
        <w:t>ów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F06A45">
        <w:rPr>
          <w:rFonts w:ascii="Times New Roman" w:hAnsi="Times New Roman" w:cs="Times New Roman"/>
          <w:sz w:val="24"/>
          <w:szCs w:val="24"/>
        </w:rPr>
        <w:t>ych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F06A45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F06A45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F06A45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F06A45">
        <w:rPr>
          <w:rFonts w:ascii="Times New Roman" w:hAnsi="Times New Roman" w:cs="Times New Roman"/>
          <w:sz w:val="24"/>
          <w:szCs w:val="24"/>
        </w:rPr>
        <w:t>.</w:t>
      </w:r>
    </w:p>
    <w:p w14:paraId="654BC482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BE925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</w:t>
      </w:r>
      <w:r w:rsidRPr="00F06A45">
        <w:rPr>
          <w:rFonts w:ascii="Times New Roman" w:hAnsi="Times New Roman" w:cs="Times New Roman"/>
          <w:sz w:val="24"/>
          <w:szCs w:val="24"/>
        </w:rPr>
        <w:lastRenderedPageBreak/>
        <w:t>programów operacyjnych województwa mazowieckiego i budżetu unii europejskiej oraz 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Pr="00F06A45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780192CF" w14:textId="77777777" w:rsidR="00340D02" w:rsidRPr="00666063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F68F65" w14:textId="727A9228" w:rsidR="00F06A45" w:rsidRPr="00F06A45" w:rsidRDefault="00CB3ECE" w:rsidP="00F06A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Planowana sprzedaż mienia gminnego na kwotę </w:t>
      </w:r>
      <w:r w:rsidR="000069BE" w:rsidRPr="00F06A45">
        <w:rPr>
          <w:rFonts w:ascii="Times New Roman" w:hAnsi="Times New Roman" w:cs="Times New Roman"/>
          <w:sz w:val="24"/>
          <w:szCs w:val="24"/>
        </w:rPr>
        <w:t>6</w:t>
      </w:r>
      <w:r w:rsidR="0077176E" w:rsidRPr="00F06A45">
        <w:rPr>
          <w:rFonts w:ascii="Times New Roman" w:hAnsi="Times New Roman" w:cs="Times New Roman"/>
          <w:sz w:val="24"/>
          <w:szCs w:val="24"/>
        </w:rPr>
        <w:t>00</w:t>
      </w:r>
      <w:r w:rsidRPr="00F06A45">
        <w:rPr>
          <w:rFonts w:ascii="Times New Roman" w:hAnsi="Times New Roman" w:cs="Times New Roman"/>
          <w:sz w:val="24"/>
          <w:szCs w:val="24"/>
        </w:rPr>
        <w:t>.0</w:t>
      </w:r>
      <w:r w:rsidR="0077176E" w:rsidRPr="00F06A45">
        <w:rPr>
          <w:rFonts w:ascii="Times New Roman" w:hAnsi="Times New Roman" w:cs="Times New Roman"/>
          <w:sz w:val="24"/>
          <w:szCs w:val="24"/>
        </w:rPr>
        <w:t xml:space="preserve">00 zł uwzględniona w WPF na </w:t>
      </w:r>
      <w:r w:rsidR="00D72317" w:rsidRPr="00F06A45">
        <w:rPr>
          <w:rFonts w:ascii="Times New Roman" w:hAnsi="Times New Roman" w:cs="Times New Roman"/>
          <w:sz w:val="24"/>
          <w:szCs w:val="24"/>
        </w:rPr>
        <w:t>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>r. obejmuje:</w:t>
      </w:r>
    </w:p>
    <w:p w14:paraId="1F5345D2" w14:textId="77777777" w:rsidR="00F06A45" w:rsidRPr="00F06A45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wpływy ze sprzedaży 2 lokali mieszkalnych dotychczasowym najemcom – 100.000 zł.</w:t>
      </w:r>
    </w:p>
    <w:p w14:paraId="58AA4E26" w14:textId="77777777" w:rsidR="00F06A45" w:rsidRPr="00F06A45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 wpływy ze sprzedaży gruntów w wysokości 500.000 zł, w tym: </w:t>
      </w:r>
    </w:p>
    <w:p w14:paraId="1884DEE0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</w:t>
      </w:r>
    </w:p>
    <w:p w14:paraId="3C66ED66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</w:t>
      </w:r>
    </w:p>
    <w:p w14:paraId="53AE3A78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Skubianka,       </w:t>
      </w:r>
    </w:p>
    <w:p w14:paraId="5E05F452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166/1 o pow. 0,0851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Wierzbica,</w:t>
      </w:r>
      <w:r w:rsidRPr="00F06A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7AC8C1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166/2 o pow. 0,1088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Wierzbica,</w:t>
      </w:r>
      <w:r w:rsidRPr="00F06A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5B38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166/5 o pow. 0,0847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Wierzbica,      </w:t>
      </w:r>
    </w:p>
    <w:p w14:paraId="74DC5BA4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166/6 o pow. 0,1000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Wierzbica,     </w:t>
      </w:r>
    </w:p>
    <w:p w14:paraId="44B49CC9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166/7 o pow. 0,0943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Wierzbica.</w:t>
      </w:r>
    </w:p>
    <w:p w14:paraId="090FCC87" w14:textId="1392CD3B" w:rsidR="00F06A45" w:rsidRPr="00F06A45" w:rsidRDefault="00F06A45" w:rsidP="00F06A45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667.000 zł.</w:t>
      </w:r>
    </w:p>
    <w:p w14:paraId="3C3A14C8" w14:textId="77777777" w:rsidR="000069BE" w:rsidRPr="00F06A45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C1FCA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6C9C47C5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4408" w14:textId="569261E4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F06A45">
        <w:rPr>
          <w:rFonts w:ascii="Times New Roman" w:hAnsi="Times New Roman" w:cs="Times New Roman"/>
          <w:sz w:val="24"/>
          <w:szCs w:val="24"/>
        </w:rPr>
        <w:t>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6A45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6790BD4C" w14:textId="77777777" w:rsidR="00854B89" w:rsidRPr="00F06A45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F06A45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F06A45">
        <w:rPr>
          <w:rFonts w:ascii="Times New Roman" w:hAnsi="Times New Roman" w:cs="Times New Roman"/>
          <w:sz w:val="24"/>
          <w:szCs w:val="24"/>
        </w:rPr>
        <w:t>z przepisów</w:t>
      </w:r>
      <w:r w:rsidRPr="00F06A45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F06A45">
        <w:rPr>
          <w:rFonts w:ascii="Times New Roman" w:hAnsi="Times New Roman" w:cs="Times New Roman"/>
          <w:sz w:val="24"/>
          <w:szCs w:val="24"/>
        </w:rPr>
        <w:t>.</w:t>
      </w:r>
    </w:p>
    <w:p w14:paraId="36BAF702" w14:textId="77777777" w:rsidR="00854B89" w:rsidRPr="00F06A45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A2DED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F06A45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2C4CCE01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D0A9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0A5CA423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1183C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na obsługę długu </w:t>
      </w:r>
    </w:p>
    <w:p w14:paraId="7DF9DB9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AD9D8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6A45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</w:t>
      </w:r>
      <w:r w:rsidRPr="004940A6">
        <w:rPr>
          <w:rFonts w:ascii="Times New Roman" w:hAnsi="Times New Roman" w:cs="Times New Roman"/>
          <w:sz w:val="24"/>
          <w:szCs w:val="24"/>
        </w:rPr>
        <w:t xml:space="preserve">obligacji komunalnych gminy w latach poprzednich. </w:t>
      </w:r>
    </w:p>
    <w:p w14:paraId="1F341C25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2D2887D7" w14:textId="5296C49C" w:rsidR="00CB3E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1715B" w14:textId="3B66A459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C092" w14:textId="77777777" w:rsidR="00BE0C23" w:rsidRPr="004940A6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01921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0A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Przychody</w:t>
      </w:r>
    </w:p>
    <w:p w14:paraId="4400A82E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E2CE" w14:textId="69E49FD6" w:rsidR="00BE0C23" w:rsidRPr="005C7A85" w:rsidRDefault="00CB3EC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ab/>
      </w:r>
      <w:r w:rsidR="00BE0C23" w:rsidRPr="005C7A85">
        <w:rPr>
          <w:rFonts w:ascii="Times New Roman" w:hAnsi="Times New Roman" w:cs="Times New Roman"/>
          <w:sz w:val="24"/>
          <w:szCs w:val="24"/>
        </w:rPr>
        <w:t>W roku 202</w:t>
      </w:r>
      <w:r w:rsidR="009C5BFF" w:rsidRPr="005C7A85">
        <w:rPr>
          <w:rFonts w:ascii="Times New Roman" w:hAnsi="Times New Roman" w:cs="Times New Roman"/>
          <w:sz w:val="24"/>
          <w:szCs w:val="24"/>
        </w:rPr>
        <w:t>1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planuje się wpływy z tytułu emisji obligacji komunalnych w wysokości </w:t>
      </w:r>
      <w:r w:rsidR="005C7A85" w:rsidRPr="005C7A85">
        <w:rPr>
          <w:rFonts w:ascii="Times New Roman" w:hAnsi="Times New Roman" w:cs="Times New Roman"/>
          <w:sz w:val="24"/>
          <w:szCs w:val="24"/>
        </w:rPr>
        <w:t>6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885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350</w:t>
      </w:r>
      <w:r w:rsidR="009C5BFF" w:rsidRPr="005C7A85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zł i pożyczek w wysokości </w:t>
      </w:r>
      <w:r w:rsidR="005C7A85" w:rsidRPr="005C7A85">
        <w:rPr>
          <w:rFonts w:ascii="Times New Roman" w:hAnsi="Times New Roman" w:cs="Times New Roman"/>
          <w:sz w:val="24"/>
          <w:szCs w:val="24"/>
        </w:rPr>
        <w:t>3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114</w:t>
      </w:r>
      <w:r w:rsidR="009C5BFF" w:rsidRPr="005C7A85">
        <w:rPr>
          <w:rFonts w:ascii="Times New Roman" w:hAnsi="Times New Roman" w:cs="Times New Roman"/>
          <w:sz w:val="24"/>
          <w:szCs w:val="24"/>
        </w:rPr>
        <w:t>.</w:t>
      </w:r>
      <w:r w:rsidR="005C7A85" w:rsidRPr="005C7A85">
        <w:rPr>
          <w:rFonts w:ascii="Times New Roman" w:hAnsi="Times New Roman" w:cs="Times New Roman"/>
          <w:sz w:val="24"/>
          <w:szCs w:val="24"/>
        </w:rPr>
        <w:t>650</w:t>
      </w:r>
      <w:r w:rsidR="009C5BFF" w:rsidRPr="005C7A85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zł oraz zaangażowanie środków w łącznej wysokości </w:t>
      </w:r>
      <w:r w:rsidR="005C7A85" w:rsidRPr="00D24E0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BE0C23" w:rsidRPr="00D24E0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82C5A" w:rsidRPr="00D24E0A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D24E0A" w:rsidRPr="00D24E0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E0C23" w:rsidRPr="00D24E0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24E0A" w:rsidRPr="00D24E0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F82C5A" w:rsidRPr="00D24E0A">
        <w:rPr>
          <w:rFonts w:ascii="Times New Roman" w:hAnsi="Times New Roman" w:cs="Times New Roman"/>
          <w:color w:val="FF0000"/>
          <w:sz w:val="24"/>
          <w:szCs w:val="24"/>
        </w:rPr>
        <w:t>43,35</w:t>
      </w:r>
      <w:r w:rsidR="00BE0C23" w:rsidRPr="00D24E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0C23" w:rsidRPr="005C7A85">
        <w:rPr>
          <w:rFonts w:ascii="Times New Roman" w:hAnsi="Times New Roman" w:cs="Times New Roman"/>
          <w:sz w:val="24"/>
          <w:szCs w:val="24"/>
        </w:rPr>
        <w:t>zł stanowiące</w:t>
      </w:r>
      <w:r w:rsidR="005C7A85" w:rsidRPr="005C7A85">
        <w:rPr>
          <w:rFonts w:ascii="Times New Roman" w:hAnsi="Times New Roman" w:cs="Times New Roman"/>
          <w:sz w:val="24"/>
          <w:szCs w:val="24"/>
        </w:rPr>
        <w:t>:</w:t>
      </w:r>
    </w:p>
    <w:p w14:paraId="4BBCAE56" w14:textId="4067E317" w:rsidR="00BE0C23" w:rsidRPr="00434213" w:rsidRDefault="005C7A85" w:rsidP="00BE0C23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7A85">
        <w:rPr>
          <w:rFonts w:ascii="Times New Roman" w:hAnsi="Times New Roman" w:cs="Times New Roman"/>
          <w:sz w:val="24"/>
          <w:szCs w:val="24"/>
        </w:rPr>
        <w:t>wolne środki, jako nadwyżka środków pieniężnych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Pr="005C7A85">
        <w:rPr>
          <w:rFonts w:ascii="Times New Roman" w:hAnsi="Times New Roman" w:cs="Times New Roman"/>
          <w:sz w:val="24"/>
          <w:szCs w:val="24"/>
        </w:rPr>
        <w:t>e</w:t>
      </w:r>
      <w:r w:rsidR="00BE0C23" w:rsidRPr="005C7A85">
        <w:rPr>
          <w:rFonts w:ascii="Times New Roman" w:hAnsi="Times New Roman" w:cs="Times New Roman"/>
          <w:sz w:val="24"/>
          <w:szCs w:val="24"/>
        </w:rPr>
        <w:t xml:space="preserve"> z rozliczeń wyemitowanych papierów wartościowych, kredytów i pożyczek z lat ubiegły</w:t>
      </w:r>
      <w:r w:rsidR="00BE0C23" w:rsidRPr="00434213">
        <w:rPr>
          <w:rFonts w:ascii="Times New Roman" w:hAnsi="Times New Roman" w:cs="Times New Roman"/>
          <w:sz w:val="24"/>
          <w:szCs w:val="24"/>
        </w:rPr>
        <w:t>ch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F82C5A" w:rsidRPr="00D24E0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E0C23" w:rsidRPr="00D24E0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82C5A" w:rsidRPr="00D24E0A">
        <w:rPr>
          <w:rFonts w:ascii="Times New Roman" w:hAnsi="Times New Roman" w:cs="Times New Roman"/>
          <w:color w:val="FF0000"/>
          <w:sz w:val="24"/>
          <w:szCs w:val="24"/>
        </w:rPr>
        <w:t>49</w:t>
      </w:r>
      <w:r w:rsidR="00D24E0A" w:rsidRPr="00D24E0A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BE0C23" w:rsidRPr="00D24E0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24E0A" w:rsidRPr="00D24E0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82C5A" w:rsidRPr="00D24E0A">
        <w:rPr>
          <w:rFonts w:ascii="Times New Roman" w:hAnsi="Times New Roman" w:cs="Times New Roman"/>
          <w:color w:val="FF0000"/>
          <w:sz w:val="24"/>
          <w:szCs w:val="24"/>
        </w:rPr>
        <w:t>98,42</w:t>
      </w:r>
      <w:r w:rsidR="00BE0C23" w:rsidRPr="00D24E0A">
        <w:rPr>
          <w:rFonts w:ascii="Times New Roman" w:hAnsi="Times New Roman" w:cs="Times New Roman"/>
          <w:color w:val="FF0000"/>
          <w:sz w:val="24"/>
          <w:szCs w:val="24"/>
        </w:rPr>
        <w:t xml:space="preserve"> zł</w:t>
      </w:r>
      <w:r w:rsidR="00BE0C23" w:rsidRPr="00434213">
        <w:rPr>
          <w:rFonts w:ascii="Times New Roman" w:hAnsi="Times New Roman" w:cs="Times New Roman"/>
          <w:sz w:val="24"/>
          <w:szCs w:val="24"/>
        </w:rPr>
        <w:t>,</w:t>
      </w:r>
    </w:p>
    <w:p w14:paraId="280033CF" w14:textId="77777777" w:rsidR="005C7A85" w:rsidRPr="00434213" w:rsidRDefault="00BE0C23" w:rsidP="009C5BFF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260981"/>
      <w:r w:rsidRPr="00434213">
        <w:rPr>
          <w:rFonts w:ascii="Times New Roman" w:hAnsi="Times New Roman" w:cs="Times New Roman"/>
          <w:sz w:val="24"/>
          <w:szCs w:val="24"/>
        </w:rPr>
        <w:t>niewykorzystan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środk</w:t>
      </w:r>
      <w:r w:rsidR="005C7A85" w:rsidRPr="00434213">
        <w:rPr>
          <w:rFonts w:ascii="Times New Roman" w:hAnsi="Times New Roman" w:cs="Times New Roman"/>
          <w:sz w:val="24"/>
          <w:szCs w:val="24"/>
        </w:rPr>
        <w:t>i</w:t>
      </w:r>
      <w:r w:rsidRPr="00434213">
        <w:rPr>
          <w:rFonts w:ascii="Times New Roman" w:hAnsi="Times New Roman" w:cs="Times New Roman"/>
          <w:sz w:val="24"/>
          <w:szCs w:val="24"/>
        </w:rPr>
        <w:t xml:space="preserve"> pieniężn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z </w:t>
      </w:r>
      <w:bookmarkEnd w:id="0"/>
      <w:r w:rsidRPr="00434213">
        <w:rPr>
          <w:rFonts w:ascii="Times New Roman" w:hAnsi="Times New Roman" w:cs="Times New Roman"/>
          <w:sz w:val="24"/>
          <w:szCs w:val="24"/>
        </w:rPr>
        <w:t xml:space="preserve">rozliczenia dochodów i wydatków nimi finansowanych związanych ze szczególnymi zasadami wykonywania budżetu określonymi w odrębnych ustawach w wysokość </w:t>
      </w:r>
      <w:r w:rsidR="005C7A85" w:rsidRPr="00434213">
        <w:rPr>
          <w:rFonts w:ascii="Times New Roman" w:hAnsi="Times New Roman" w:cs="Times New Roman"/>
          <w:sz w:val="24"/>
          <w:szCs w:val="24"/>
        </w:rPr>
        <w:t>1.013.787,09</w:t>
      </w:r>
      <w:r w:rsidR="009C5BFF"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Pr="00434213">
        <w:rPr>
          <w:rFonts w:ascii="Times New Roman" w:hAnsi="Times New Roman" w:cs="Times New Roman"/>
          <w:sz w:val="24"/>
          <w:szCs w:val="24"/>
        </w:rPr>
        <w:t>zł, na któr</w:t>
      </w:r>
      <w:r w:rsidR="005C7A85" w:rsidRPr="00434213">
        <w:rPr>
          <w:rFonts w:ascii="Times New Roman" w:hAnsi="Times New Roman" w:cs="Times New Roman"/>
          <w:sz w:val="24"/>
          <w:szCs w:val="24"/>
        </w:rPr>
        <w:t>e</w:t>
      </w:r>
      <w:r w:rsidRPr="00434213">
        <w:rPr>
          <w:rFonts w:ascii="Times New Roman" w:hAnsi="Times New Roman" w:cs="Times New Roman"/>
          <w:sz w:val="24"/>
          <w:szCs w:val="24"/>
        </w:rPr>
        <w:t xml:space="preserve"> składa się</w:t>
      </w:r>
      <w:r w:rsidR="005C7A85" w:rsidRPr="00434213">
        <w:rPr>
          <w:rFonts w:ascii="Times New Roman" w:hAnsi="Times New Roman" w:cs="Times New Roman"/>
          <w:sz w:val="24"/>
          <w:szCs w:val="24"/>
        </w:rPr>
        <w:t>:</w:t>
      </w:r>
    </w:p>
    <w:p w14:paraId="4EA74947" w14:textId="2519BCAF" w:rsidR="009C5BFF" w:rsidRPr="00434213" w:rsidRDefault="00BE0C23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9C5BFF" w:rsidRPr="00434213">
        <w:rPr>
          <w:rFonts w:ascii="Times New Roman" w:hAnsi="Times New Roman" w:cs="Times New Roman"/>
          <w:sz w:val="24"/>
          <w:szCs w:val="24"/>
        </w:rPr>
        <w:t>ze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9C5BFF" w:rsidRPr="00434213">
        <w:rPr>
          <w:rFonts w:ascii="Times New Roman" w:hAnsi="Times New Roman" w:cs="Times New Roman"/>
          <w:sz w:val="24"/>
          <w:szCs w:val="24"/>
        </w:rPr>
        <w:t>środków pochodzących z Rządowego Funduszu Inwestycji Lokalnych, na dofinansowanie realizacji zadania inwestycyjnego pn. „Budowa ul. Mickiewicza i ul. Słowackiego w Serocku” oraz „Rewitalizacja placu zabaw w Maryninie”</w:t>
      </w:r>
      <w:r w:rsidR="005C7A85" w:rsidRPr="00434213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6510AA" w:rsidRPr="00434213">
        <w:rPr>
          <w:rFonts w:ascii="Times New Roman" w:hAnsi="Times New Roman" w:cs="Times New Roman"/>
          <w:sz w:val="24"/>
          <w:szCs w:val="24"/>
        </w:rPr>
        <w:t>915.827 zł</w:t>
      </w:r>
      <w:r w:rsidR="009C5BFF" w:rsidRPr="00434213">
        <w:rPr>
          <w:rFonts w:ascii="Times New Roman" w:hAnsi="Times New Roman" w:cs="Times New Roman"/>
          <w:sz w:val="24"/>
          <w:szCs w:val="24"/>
        </w:rPr>
        <w:t>,</w:t>
      </w:r>
    </w:p>
    <w:p w14:paraId="7BC87DCB" w14:textId="06633BF2" w:rsidR="00C06578" w:rsidRPr="00434213" w:rsidRDefault="00C06578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97.952,61 zł,</w:t>
      </w:r>
    </w:p>
    <w:p w14:paraId="374DCD0B" w14:textId="06823C40" w:rsidR="006510AA" w:rsidRPr="00434213" w:rsidRDefault="000503D2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34213">
        <w:rPr>
          <w:rFonts w:ascii="Times New Roman" w:hAnsi="Times New Roman"/>
          <w:sz w:val="24"/>
          <w:szCs w:val="24"/>
        </w:rPr>
        <w:t>rozliczenie dochodów związanych z gromadzeniem środków z opłat produktowych - kwota 7,48 zł,</w:t>
      </w:r>
    </w:p>
    <w:p w14:paraId="1ABB498B" w14:textId="5C7183AD" w:rsidR="00BE0C23" w:rsidRPr="00434213" w:rsidRDefault="00434213" w:rsidP="009C5BFF">
      <w:pPr>
        <w:pStyle w:val="Akapitzlist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niewykorzystane środki pieniężne na rachunku bieżącym budżetu gminy, wynikające z 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rozliczenia środków określonych w art. 5 ust. 1 pkt 2 ustawy i dotacji na realizację programu, projektu lub zadania finansowanego z udziałem tych środków w wysokości </w:t>
      </w:r>
      <w:r w:rsidR="009C5BFF" w:rsidRPr="00434213">
        <w:rPr>
          <w:rFonts w:ascii="Times New Roman" w:hAnsi="Times New Roman" w:cs="Times New Roman"/>
          <w:sz w:val="24"/>
          <w:szCs w:val="24"/>
        </w:rPr>
        <w:t>628</w:t>
      </w:r>
      <w:r w:rsidR="00BE0C23"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357,84</w:t>
      </w:r>
      <w:r w:rsidR="00BE0C23" w:rsidRPr="00434213">
        <w:rPr>
          <w:rFonts w:ascii="Times New Roman" w:hAnsi="Times New Roman" w:cs="Times New Roman"/>
          <w:sz w:val="24"/>
          <w:szCs w:val="24"/>
        </w:rPr>
        <w:t xml:space="preserve"> zł, na którą składają się n/w projekty:</w:t>
      </w:r>
    </w:p>
    <w:p w14:paraId="1E01203B" w14:textId="41266E9D" w:rsidR="00BE0C23" w:rsidRPr="00434213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Kluby Kluczowych Kompetencji – kwota </w:t>
      </w:r>
      <w:r w:rsidR="009C5BFF" w:rsidRPr="00434213">
        <w:rPr>
          <w:rFonts w:ascii="Times New Roman" w:hAnsi="Times New Roman" w:cs="Times New Roman"/>
          <w:sz w:val="24"/>
          <w:szCs w:val="24"/>
        </w:rPr>
        <w:t>336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893,54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C3E3CE5" w14:textId="14B026BE" w:rsidR="00BE0C23" w:rsidRPr="00434213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>Przyjazny OPS – kwota 2</w:t>
      </w:r>
      <w:r w:rsidR="009C5BFF" w:rsidRPr="00434213">
        <w:rPr>
          <w:rFonts w:ascii="Times New Roman" w:hAnsi="Times New Roman" w:cs="Times New Roman"/>
          <w:sz w:val="24"/>
          <w:szCs w:val="24"/>
        </w:rPr>
        <w:t>3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769,90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AB2DF47" w14:textId="748F5300" w:rsidR="00BE0C23" w:rsidRPr="00434213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Kompleksowe Usługi Społeczne – kwota </w:t>
      </w:r>
      <w:r w:rsidR="009C5BFF" w:rsidRPr="00434213">
        <w:rPr>
          <w:rFonts w:ascii="Times New Roman" w:hAnsi="Times New Roman" w:cs="Times New Roman"/>
          <w:sz w:val="24"/>
          <w:szCs w:val="24"/>
        </w:rPr>
        <w:t>267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9C5BFF" w:rsidRPr="00434213">
        <w:rPr>
          <w:rFonts w:ascii="Times New Roman" w:hAnsi="Times New Roman" w:cs="Times New Roman"/>
          <w:sz w:val="24"/>
          <w:szCs w:val="24"/>
        </w:rPr>
        <w:t>694,40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ABCE1FD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6673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213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510524D1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3400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434213">
        <w:rPr>
          <w:rFonts w:ascii="Times New Roman" w:hAnsi="Times New Roman" w:cs="Times New Roman"/>
          <w:sz w:val="24"/>
          <w:szCs w:val="24"/>
        </w:rPr>
        <w:t>zaciągniętych</w:t>
      </w:r>
      <w:r w:rsidRPr="00434213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4B71C82E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4213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434213">
        <w:rPr>
          <w:rFonts w:ascii="Times New Roman" w:hAnsi="Times New Roman" w:cs="Times New Roman"/>
          <w:sz w:val="24"/>
          <w:szCs w:val="24"/>
        </w:rPr>
        <w:t>ustawy</w:t>
      </w:r>
      <w:r w:rsidRPr="00434213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434213">
        <w:rPr>
          <w:rFonts w:ascii="Times New Roman" w:hAnsi="Times New Roman" w:cs="Times New Roman"/>
          <w:sz w:val="24"/>
          <w:szCs w:val="24"/>
        </w:rPr>
        <w:t>bieżących</w:t>
      </w:r>
      <w:r w:rsidRPr="00434213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434213">
        <w:rPr>
          <w:rFonts w:ascii="Times New Roman" w:hAnsi="Times New Roman" w:cs="Times New Roman"/>
          <w:sz w:val="24"/>
          <w:szCs w:val="24"/>
        </w:rPr>
        <w:t>majątku</w:t>
      </w:r>
      <w:r w:rsidRPr="00434213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14:paraId="671960EE" w14:textId="4447BAE8" w:rsidR="00CB3ECE" w:rsidRPr="00434213" w:rsidRDefault="00874FF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>Zobowiązania z tytułu spłaty rat kredytów, pożyczek oraz wykupu obligacji komunalnych                    w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6B53">
        <w:rPr>
          <w:rFonts w:ascii="Times New Roman" w:hAnsi="Times New Roman" w:cs="Times New Roman"/>
          <w:sz w:val="24"/>
          <w:szCs w:val="24"/>
        </w:rPr>
        <w:t xml:space="preserve">r. zmniejszono o kwotę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2D6B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410,67</w:t>
      </w:r>
      <w:r w:rsidRPr="002D6B53">
        <w:rPr>
          <w:rFonts w:ascii="Times New Roman" w:hAnsi="Times New Roman" w:cs="Times New Roman"/>
          <w:sz w:val="24"/>
          <w:szCs w:val="24"/>
        </w:rPr>
        <w:t xml:space="preserve"> zł, z uwagi na </w:t>
      </w:r>
      <w:r>
        <w:rPr>
          <w:rFonts w:ascii="Times New Roman" w:hAnsi="Times New Roman" w:cs="Times New Roman"/>
          <w:sz w:val="24"/>
          <w:szCs w:val="24"/>
        </w:rPr>
        <w:t>niezaciągnięcie</w:t>
      </w:r>
      <w:r w:rsidRPr="002D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planowanej </w:t>
      </w:r>
      <w:r w:rsidRPr="002D6B53">
        <w:rPr>
          <w:rFonts w:ascii="Times New Roman" w:hAnsi="Times New Roman" w:cs="Times New Roman"/>
          <w:sz w:val="24"/>
          <w:szCs w:val="24"/>
        </w:rPr>
        <w:t>pożycz</w:t>
      </w:r>
      <w:r>
        <w:rPr>
          <w:rFonts w:ascii="Times New Roman" w:hAnsi="Times New Roman" w:cs="Times New Roman"/>
          <w:sz w:val="24"/>
          <w:szCs w:val="24"/>
        </w:rPr>
        <w:t xml:space="preserve">ki w roku 2020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D6B53">
        <w:rPr>
          <w:rFonts w:ascii="Times New Roman" w:hAnsi="Times New Roman" w:cs="Times New Roman"/>
          <w:sz w:val="24"/>
          <w:szCs w:val="24"/>
        </w:rPr>
        <w:t xml:space="preserve">FOŚiGW. Zobowiązania po zmianie wynoszą </w:t>
      </w:r>
      <w:r w:rsidR="004940A6" w:rsidRPr="00434213">
        <w:rPr>
          <w:rFonts w:ascii="Times New Roman" w:hAnsi="Times New Roman" w:cs="Times New Roman"/>
          <w:sz w:val="24"/>
          <w:szCs w:val="24"/>
        </w:rPr>
        <w:t>4</w:t>
      </w:r>
      <w:r w:rsidR="00D72317" w:rsidRPr="00434213">
        <w:rPr>
          <w:rFonts w:ascii="Times New Roman" w:hAnsi="Times New Roman" w:cs="Times New Roman"/>
          <w:sz w:val="24"/>
          <w:szCs w:val="24"/>
        </w:rPr>
        <w:t>.</w:t>
      </w:r>
      <w:r w:rsidR="004940A6" w:rsidRPr="00434213">
        <w:rPr>
          <w:rFonts w:ascii="Times New Roman" w:hAnsi="Times New Roman" w:cs="Times New Roman"/>
          <w:sz w:val="24"/>
          <w:szCs w:val="24"/>
        </w:rPr>
        <w:t>1</w:t>
      </w:r>
      <w:r w:rsidR="00434213" w:rsidRPr="00434213">
        <w:rPr>
          <w:rFonts w:ascii="Times New Roman" w:hAnsi="Times New Roman" w:cs="Times New Roman"/>
          <w:sz w:val="24"/>
          <w:szCs w:val="24"/>
        </w:rPr>
        <w:t>27</w:t>
      </w:r>
      <w:r w:rsidR="008C3ED4" w:rsidRPr="00434213">
        <w:rPr>
          <w:rFonts w:ascii="Times New Roman" w:hAnsi="Times New Roman" w:cs="Times New Roman"/>
          <w:sz w:val="24"/>
          <w:szCs w:val="24"/>
        </w:rPr>
        <w:t>.</w:t>
      </w:r>
      <w:r w:rsidR="00434213" w:rsidRPr="00434213">
        <w:rPr>
          <w:rFonts w:ascii="Times New Roman" w:hAnsi="Times New Roman" w:cs="Times New Roman"/>
          <w:sz w:val="24"/>
          <w:szCs w:val="24"/>
        </w:rPr>
        <w:t>186,45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CB3ECE" w:rsidRPr="00434213">
        <w:rPr>
          <w:rFonts w:ascii="Times New Roman" w:hAnsi="Times New Roman" w:cs="Times New Roman"/>
          <w:sz w:val="24"/>
          <w:szCs w:val="24"/>
        </w:rPr>
        <w:t>zł i dotyczą:</w:t>
      </w:r>
    </w:p>
    <w:p w14:paraId="53A86A98" w14:textId="0A897E73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434213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434213">
        <w:rPr>
          <w:rFonts w:ascii="Times New Roman" w:hAnsi="Times New Roman" w:cs="Times New Roman"/>
          <w:sz w:val="24"/>
          <w:szCs w:val="24"/>
        </w:rPr>
        <w:t>–</w:t>
      </w:r>
      <w:r w:rsidR="00934ECC"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434213">
        <w:rPr>
          <w:rFonts w:ascii="Times New Roman" w:hAnsi="Times New Roman" w:cs="Times New Roman"/>
          <w:sz w:val="24"/>
          <w:szCs w:val="24"/>
        </w:rPr>
        <w:t>33</w:t>
      </w:r>
      <w:r w:rsidR="000069BE" w:rsidRPr="00434213">
        <w:rPr>
          <w:rFonts w:ascii="Times New Roman" w:hAnsi="Times New Roman" w:cs="Times New Roman"/>
          <w:sz w:val="24"/>
          <w:szCs w:val="24"/>
        </w:rPr>
        <w:t>.</w:t>
      </w:r>
      <w:r w:rsidR="004940A6" w:rsidRPr="00434213">
        <w:rPr>
          <w:rFonts w:ascii="Times New Roman" w:hAnsi="Times New Roman" w:cs="Times New Roman"/>
          <w:sz w:val="24"/>
          <w:szCs w:val="24"/>
        </w:rPr>
        <w:t>421,28</w:t>
      </w:r>
      <w:r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F0E24C7" w14:textId="200244DE" w:rsidR="00CB3ECE" w:rsidRPr="00434213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74FFE">
        <w:rPr>
          <w:rFonts w:ascii="Times New Roman" w:hAnsi="Times New Roman" w:cs="Times New Roman"/>
          <w:sz w:val="24"/>
          <w:szCs w:val="24"/>
        </w:rPr>
        <w:t>–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434213">
        <w:rPr>
          <w:rFonts w:ascii="Times New Roman" w:hAnsi="Times New Roman" w:cs="Times New Roman"/>
          <w:sz w:val="24"/>
          <w:szCs w:val="24"/>
        </w:rPr>
        <w:t>71</w:t>
      </w:r>
      <w:r w:rsidR="00434213" w:rsidRPr="00434213">
        <w:rPr>
          <w:rFonts w:ascii="Times New Roman" w:hAnsi="Times New Roman" w:cs="Times New Roman"/>
          <w:sz w:val="24"/>
          <w:szCs w:val="24"/>
        </w:rPr>
        <w:t>6</w:t>
      </w:r>
      <w:r w:rsidR="00934ECC" w:rsidRPr="00434213">
        <w:rPr>
          <w:rFonts w:ascii="Times New Roman" w:hAnsi="Times New Roman" w:cs="Times New Roman"/>
          <w:sz w:val="24"/>
          <w:szCs w:val="24"/>
        </w:rPr>
        <w:t>.</w:t>
      </w:r>
      <w:r w:rsidR="004940A6" w:rsidRPr="00434213">
        <w:rPr>
          <w:rFonts w:ascii="Times New Roman" w:hAnsi="Times New Roman" w:cs="Times New Roman"/>
          <w:sz w:val="24"/>
          <w:szCs w:val="24"/>
        </w:rPr>
        <w:t>7</w:t>
      </w:r>
      <w:r w:rsidR="00434213" w:rsidRPr="00434213">
        <w:rPr>
          <w:rFonts w:ascii="Times New Roman" w:hAnsi="Times New Roman" w:cs="Times New Roman"/>
          <w:sz w:val="24"/>
          <w:szCs w:val="24"/>
        </w:rPr>
        <w:t>6</w:t>
      </w:r>
      <w:r w:rsidR="004940A6" w:rsidRPr="00434213">
        <w:rPr>
          <w:rFonts w:ascii="Times New Roman" w:hAnsi="Times New Roman" w:cs="Times New Roman"/>
          <w:sz w:val="24"/>
          <w:szCs w:val="24"/>
        </w:rPr>
        <w:t>5,</w:t>
      </w:r>
      <w:r w:rsidR="00434213" w:rsidRPr="00434213">
        <w:rPr>
          <w:rFonts w:ascii="Times New Roman" w:hAnsi="Times New Roman" w:cs="Times New Roman"/>
          <w:sz w:val="24"/>
          <w:szCs w:val="24"/>
        </w:rPr>
        <w:t>17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CA5E525" w14:textId="176B45DF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- wykup obligacji komunalnych </w:t>
      </w:r>
      <w:r w:rsidR="00874FFE">
        <w:rPr>
          <w:rFonts w:ascii="Times New Roman" w:hAnsi="Times New Roman" w:cs="Times New Roman"/>
          <w:sz w:val="24"/>
          <w:szCs w:val="24"/>
        </w:rPr>
        <w:t>–</w:t>
      </w:r>
      <w:r w:rsidRPr="00434213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434213">
        <w:rPr>
          <w:rFonts w:ascii="Times New Roman" w:hAnsi="Times New Roman" w:cs="Times New Roman"/>
          <w:sz w:val="24"/>
          <w:szCs w:val="24"/>
        </w:rPr>
        <w:t>3</w:t>
      </w:r>
      <w:r w:rsidRPr="00434213">
        <w:rPr>
          <w:rFonts w:ascii="Times New Roman" w:hAnsi="Times New Roman" w:cs="Times New Roman"/>
          <w:sz w:val="24"/>
          <w:szCs w:val="24"/>
        </w:rPr>
        <w:t>.</w:t>
      </w:r>
      <w:r w:rsidR="000069BE" w:rsidRPr="00434213">
        <w:rPr>
          <w:rFonts w:ascii="Times New Roman" w:hAnsi="Times New Roman" w:cs="Times New Roman"/>
          <w:sz w:val="24"/>
          <w:szCs w:val="24"/>
        </w:rPr>
        <w:t>3</w:t>
      </w:r>
      <w:r w:rsidR="004940A6" w:rsidRPr="00434213">
        <w:rPr>
          <w:rFonts w:ascii="Times New Roman" w:hAnsi="Times New Roman" w:cs="Times New Roman"/>
          <w:sz w:val="24"/>
          <w:szCs w:val="24"/>
        </w:rPr>
        <w:t>77</w:t>
      </w:r>
      <w:r w:rsidRPr="00434213">
        <w:rPr>
          <w:rFonts w:ascii="Times New Roman" w:hAnsi="Times New Roman" w:cs="Times New Roman"/>
          <w:sz w:val="24"/>
          <w:szCs w:val="24"/>
        </w:rPr>
        <w:t>.000 zł.</w:t>
      </w:r>
    </w:p>
    <w:p w14:paraId="6354AA36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2B76D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2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Kwota długu Miasta i Gminy Serock</w:t>
      </w:r>
    </w:p>
    <w:p w14:paraId="6313BA52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C0F2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434213">
        <w:rPr>
          <w:rFonts w:ascii="Times New Roman" w:hAnsi="Times New Roman" w:cs="Times New Roman"/>
          <w:sz w:val="24"/>
          <w:szCs w:val="24"/>
        </w:rPr>
        <w:t>publicznych zawarte</w:t>
      </w:r>
      <w:r w:rsidRPr="00434213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50F9BFA2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34213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434213">
        <w:rPr>
          <w:rFonts w:ascii="Times New Roman" w:hAnsi="Times New Roman" w:cs="Times New Roman"/>
          <w:sz w:val="24"/>
          <w:szCs w:val="24"/>
        </w:rPr>
        <w:t>zaciągnięty</w:t>
      </w:r>
      <w:r w:rsidRPr="00434213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18397AC7" w14:textId="4ED5099D" w:rsidR="00CB3ECE" w:rsidRPr="00434213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>W latach 202</w:t>
      </w:r>
      <w:r w:rsidR="004940A6" w:rsidRPr="00434213">
        <w:rPr>
          <w:rFonts w:ascii="Times New Roman" w:hAnsi="Times New Roman" w:cs="Times New Roman"/>
          <w:sz w:val="24"/>
          <w:szCs w:val="24"/>
        </w:rPr>
        <w:t>6</w:t>
      </w:r>
      <w:r w:rsidR="008C3ED4" w:rsidRPr="00434213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434213">
        <w:rPr>
          <w:rFonts w:ascii="Times New Roman" w:hAnsi="Times New Roman" w:cs="Times New Roman"/>
          <w:sz w:val="24"/>
          <w:szCs w:val="24"/>
        </w:rPr>
        <w:t>3</w:t>
      </w:r>
      <w:r w:rsidR="004940A6" w:rsidRPr="00434213">
        <w:rPr>
          <w:rFonts w:ascii="Times New Roman" w:hAnsi="Times New Roman" w:cs="Times New Roman"/>
          <w:sz w:val="24"/>
          <w:szCs w:val="24"/>
        </w:rPr>
        <w:t>6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434213">
        <w:rPr>
          <w:rFonts w:ascii="Times New Roman" w:hAnsi="Times New Roman" w:cs="Times New Roman"/>
          <w:sz w:val="24"/>
          <w:szCs w:val="24"/>
        </w:rPr>
        <w:t>budżetu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434213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434213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7027DE5C" w14:textId="77777777" w:rsidR="00CB3ECE" w:rsidRPr="0043421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13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2C3D8DE4" w14:textId="77777777" w:rsidR="00874FFE" w:rsidRPr="00103DC7" w:rsidRDefault="00874FFE" w:rsidP="00874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6C544" w14:textId="04275A77" w:rsidR="00874FFE" w:rsidRPr="00BF2ADD" w:rsidRDefault="00874FFE" w:rsidP="001B4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7C69">
        <w:rPr>
          <w:rFonts w:ascii="Times New Roman" w:hAnsi="Times New Roman" w:cs="Times New Roman"/>
          <w:sz w:val="24"/>
          <w:szCs w:val="24"/>
        </w:rPr>
        <w:t xml:space="preserve">Gmina </w:t>
      </w:r>
      <w:r w:rsidR="001B4328">
        <w:rPr>
          <w:rFonts w:ascii="Times New Roman" w:hAnsi="Times New Roman" w:cs="Times New Roman"/>
          <w:sz w:val="24"/>
          <w:szCs w:val="24"/>
        </w:rPr>
        <w:t>nie z</w:t>
      </w:r>
      <w:r w:rsidRPr="00007C69">
        <w:rPr>
          <w:rFonts w:ascii="Times New Roman" w:hAnsi="Times New Roman" w:cs="Times New Roman"/>
          <w:sz w:val="24"/>
          <w:szCs w:val="24"/>
        </w:rPr>
        <w:t>aciągnę</w:t>
      </w:r>
      <w:r w:rsidR="001B4328">
        <w:rPr>
          <w:rFonts w:ascii="Times New Roman" w:hAnsi="Times New Roman" w:cs="Times New Roman"/>
          <w:sz w:val="24"/>
          <w:szCs w:val="24"/>
        </w:rPr>
        <w:t>ła</w:t>
      </w:r>
      <w:r w:rsidRPr="00007C69">
        <w:rPr>
          <w:rFonts w:ascii="Times New Roman" w:hAnsi="Times New Roman" w:cs="Times New Roman"/>
          <w:sz w:val="24"/>
          <w:szCs w:val="24"/>
        </w:rPr>
        <w:t xml:space="preserve"> pożycz</w:t>
      </w:r>
      <w:r w:rsidR="001B4328">
        <w:rPr>
          <w:rFonts w:ascii="Times New Roman" w:hAnsi="Times New Roman" w:cs="Times New Roman"/>
          <w:sz w:val="24"/>
          <w:szCs w:val="24"/>
        </w:rPr>
        <w:t>e</w:t>
      </w:r>
      <w:r w:rsidRPr="00007C69">
        <w:rPr>
          <w:rFonts w:ascii="Times New Roman" w:hAnsi="Times New Roman" w:cs="Times New Roman"/>
          <w:sz w:val="24"/>
          <w:szCs w:val="24"/>
        </w:rPr>
        <w:t xml:space="preserve">k w </w:t>
      </w:r>
      <w:r w:rsidR="00633670">
        <w:rPr>
          <w:rFonts w:ascii="Times New Roman" w:hAnsi="Times New Roman" w:cs="Times New Roman"/>
          <w:sz w:val="24"/>
          <w:szCs w:val="24"/>
        </w:rPr>
        <w:t>planowanej pierwotnie</w:t>
      </w:r>
      <w:r w:rsidR="001B4328">
        <w:rPr>
          <w:rFonts w:ascii="Times New Roman" w:hAnsi="Times New Roman" w:cs="Times New Roman"/>
          <w:sz w:val="24"/>
          <w:szCs w:val="24"/>
        </w:rPr>
        <w:t xml:space="preserve"> </w:t>
      </w:r>
      <w:r w:rsidRPr="00007C69">
        <w:rPr>
          <w:rFonts w:ascii="Times New Roman" w:hAnsi="Times New Roman" w:cs="Times New Roman"/>
          <w:sz w:val="24"/>
          <w:szCs w:val="24"/>
        </w:rPr>
        <w:t>kwocie</w:t>
      </w:r>
      <w:r w:rsidR="00633670">
        <w:rPr>
          <w:rFonts w:ascii="Times New Roman" w:hAnsi="Times New Roman" w:cs="Times New Roman"/>
          <w:sz w:val="24"/>
          <w:szCs w:val="24"/>
        </w:rPr>
        <w:t xml:space="preserve">, </w:t>
      </w:r>
      <w:r w:rsidR="001B4328">
        <w:rPr>
          <w:rFonts w:ascii="Times New Roman" w:hAnsi="Times New Roman" w:cs="Times New Roman"/>
          <w:sz w:val="24"/>
          <w:szCs w:val="24"/>
        </w:rPr>
        <w:t>co</w:t>
      </w:r>
      <w:r w:rsidRPr="00007C69">
        <w:rPr>
          <w:rFonts w:ascii="Times New Roman" w:hAnsi="Times New Roman" w:cs="Times New Roman"/>
          <w:sz w:val="24"/>
          <w:szCs w:val="24"/>
        </w:rPr>
        <w:t xml:space="preserve"> </w:t>
      </w:r>
      <w:r w:rsidR="001B4328">
        <w:rPr>
          <w:rFonts w:ascii="Times New Roman" w:hAnsi="Times New Roman" w:cs="Times New Roman"/>
          <w:sz w:val="24"/>
          <w:szCs w:val="24"/>
        </w:rPr>
        <w:t xml:space="preserve">wpłynęło na zmniejszenie kwoty długu oraz </w:t>
      </w:r>
      <w:r>
        <w:rPr>
          <w:rFonts w:ascii="Times New Roman" w:hAnsi="Times New Roman" w:cs="Times New Roman"/>
          <w:color w:val="000000"/>
          <w:sz w:val="24"/>
          <w:szCs w:val="24"/>
        </w:rPr>
        <w:t>na zmniejszenie rozchodów w poszczególnych latach, zgodnie                                      z załącznikiem nr 1 do niniejszej uchwały oraz kwoty długu, która na koniec 2021r. wynosiłaby 3</w:t>
      </w:r>
      <w:r w:rsidR="00633670">
        <w:rPr>
          <w:rFonts w:ascii="Times New Roman" w:hAnsi="Times New Roman" w:cs="Times New Roman"/>
          <w:sz w:val="24"/>
          <w:szCs w:val="24"/>
        </w:rPr>
        <w:t>4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 w:rsidR="00633670">
        <w:rPr>
          <w:rFonts w:ascii="Times New Roman" w:hAnsi="Times New Roman" w:cs="Times New Roman"/>
          <w:sz w:val="24"/>
          <w:szCs w:val="24"/>
        </w:rPr>
        <w:t>117.955,35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 (zmniejszenie o </w:t>
      </w:r>
      <w:r w:rsidR="00633670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BF2ADD">
        <w:rPr>
          <w:rFonts w:ascii="Times New Roman" w:hAnsi="Times New Roman" w:cs="Times New Roman"/>
          <w:sz w:val="24"/>
          <w:szCs w:val="24"/>
        </w:rPr>
        <w:t xml:space="preserve">kwotę </w:t>
      </w:r>
      <w:r w:rsidR="00633670">
        <w:rPr>
          <w:rFonts w:ascii="Times New Roman" w:hAnsi="Times New Roman" w:cs="Times New Roman"/>
          <w:sz w:val="24"/>
          <w:szCs w:val="24"/>
        </w:rPr>
        <w:t>3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33670">
        <w:rPr>
          <w:rFonts w:ascii="Times New Roman" w:hAnsi="Times New Roman" w:cs="Times New Roman"/>
          <w:sz w:val="24"/>
          <w:szCs w:val="24"/>
        </w:rPr>
        <w:t>6.103,28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48A66DC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AC08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3670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FA295C9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028F" w14:textId="43B07B7A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633670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633670">
        <w:rPr>
          <w:rFonts w:ascii="Times New Roman" w:hAnsi="Times New Roman" w:cs="Times New Roman"/>
          <w:sz w:val="24"/>
          <w:szCs w:val="24"/>
        </w:rPr>
        <w:t>2</w:t>
      </w:r>
      <w:r w:rsidR="0029581A" w:rsidRPr="00633670">
        <w:rPr>
          <w:rFonts w:ascii="Times New Roman" w:hAnsi="Times New Roman" w:cs="Times New Roman"/>
          <w:sz w:val="24"/>
          <w:szCs w:val="24"/>
        </w:rPr>
        <w:t xml:space="preserve"> – 202</w:t>
      </w:r>
      <w:r w:rsidR="004940A6" w:rsidRPr="00633670">
        <w:rPr>
          <w:rFonts w:ascii="Times New Roman" w:hAnsi="Times New Roman" w:cs="Times New Roman"/>
          <w:sz w:val="24"/>
          <w:szCs w:val="24"/>
        </w:rPr>
        <w:t>6</w:t>
      </w:r>
      <w:r w:rsidRPr="00633670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70C3E6D0" w14:textId="77777777" w:rsidR="00CB3ECE" w:rsidRPr="00633670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267AA29D" w14:textId="77777777" w:rsidR="00CB3ECE" w:rsidRPr="00633670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9BD2DFC" w14:textId="77777777" w:rsidR="00CB3ECE" w:rsidRPr="00633670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limity zobowiązań.</w:t>
      </w:r>
    </w:p>
    <w:p w14:paraId="799A0B4A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0018F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6C387F2C" w14:textId="77777777" w:rsidR="00CB3ECE" w:rsidRPr="00633670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E73ABFA" w14:textId="77777777" w:rsidR="00CB3ECE" w:rsidRPr="00633670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46996C5D" w14:textId="77777777" w:rsidR="00CB3ECE" w:rsidRPr="0063367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FDC3" w14:textId="77777777" w:rsidR="00CB3ECE" w:rsidRPr="00633670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ab/>
      </w:r>
      <w:r w:rsidR="00CB3ECE" w:rsidRPr="00633670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633670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633670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33B9CA61" w14:textId="330A4932" w:rsidR="008A44BA" w:rsidRPr="00633670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dowożenie uczniów do szkół</w:t>
      </w:r>
      <w:r w:rsidR="0084108D" w:rsidRPr="00633670">
        <w:rPr>
          <w:rFonts w:ascii="Times New Roman" w:hAnsi="Times New Roman" w:cs="Times New Roman"/>
          <w:sz w:val="24"/>
          <w:szCs w:val="24"/>
        </w:rPr>
        <w:t>,</w:t>
      </w:r>
    </w:p>
    <w:p w14:paraId="2CA6E2C6" w14:textId="2C54F582" w:rsidR="0084108D" w:rsidRPr="00633670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prowadzenia żywienia zbiorowego w szkołach i przedszkolach,</w:t>
      </w:r>
    </w:p>
    <w:p w14:paraId="525B47F1" w14:textId="1B6C8CE7" w:rsidR="00393C44" w:rsidRPr="00633670" w:rsidRDefault="00393C44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 xml:space="preserve">opracowanie wstępnego studium </w:t>
      </w:r>
      <w:proofErr w:type="spellStart"/>
      <w:r w:rsidRPr="00633670">
        <w:rPr>
          <w:rFonts w:ascii="Times New Roman" w:hAnsi="Times New Roman" w:cs="Times New Roman"/>
          <w:sz w:val="24"/>
          <w:szCs w:val="24"/>
        </w:rPr>
        <w:t>planistyczo</w:t>
      </w:r>
      <w:proofErr w:type="spellEnd"/>
      <w:r w:rsidRPr="00633670">
        <w:rPr>
          <w:rFonts w:ascii="Times New Roman" w:hAnsi="Times New Roman" w:cs="Times New Roman"/>
          <w:sz w:val="24"/>
          <w:szCs w:val="24"/>
        </w:rPr>
        <w:t xml:space="preserve"> – prognostycznego dot. Budowy linii kolejowej Zegrze – Przasnysz,</w:t>
      </w:r>
    </w:p>
    <w:p w14:paraId="61B216BA" w14:textId="58E2BDC9" w:rsidR="003045FF" w:rsidRPr="00633670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budowa budynku komunalnego,</w:t>
      </w:r>
    </w:p>
    <w:p w14:paraId="7D80726E" w14:textId="1AE415D2" w:rsidR="003C69C3" w:rsidRPr="00633670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budowy wodociąg</w:t>
      </w:r>
      <w:r w:rsidR="0084108D" w:rsidRPr="00633670">
        <w:rPr>
          <w:rFonts w:ascii="Times New Roman" w:hAnsi="Times New Roman" w:cs="Times New Roman"/>
          <w:sz w:val="24"/>
          <w:szCs w:val="24"/>
        </w:rPr>
        <w:t>u</w:t>
      </w:r>
      <w:r w:rsidRPr="00633670">
        <w:rPr>
          <w:rFonts w:ascii="Times New Roman" w:hAnsi="Times New Roman" w:cs="Times New Roman"/>
          <w:sz w:val="24"/>
          <w:szCs w:val="24"/>
        </w:rPr>
        <w:t xml:space="preserve"> w Serocku</w:t>
      </w:r>
      <w:r w:rsidR="003045FF" w:rsidRPr="00633670">
        <w:rPr>
          <w:rFonts w:ascii="Times New Roman" w:hAnsi="Times New Roman" w:cs="Times New Roman"/>
          <w:sz w:val="24"/>
          <w:szCs w:val="24"/>
        </w:rPr>
        <w:t>,</w:t>
      </w:r>
    </w:p>
    <w:p w14:paraId="69C59054" w14:textId="5179D9EB" w:rsidR="0084108D" w:rsidRPr="00633670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budowa kanalizacji : Stasi  Las – Borowa Góra,</w:t>
      </w:r>
    </w:p>
    <w:p w14:paraId="43B2F0A7" w14:textId="26B492AF" w:rsidR="003C69C3" w:rsidRPr="00633670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>prze</w:t>
      </w:r>
      <w:r w:rsidR="003C69C3" w:rsidRPr="00633670">
        <w:rPr>
          <w:rFonts w:ascii="Times New Roman" w:hAnsi="Times New Roman" w:cs="Times New Roman"/>
          <w:sz w:val="24"/>
          <w:szCs w:val="24"/>
        </w:rPr>
        <w:t xml:space="preserve">budowa ul. </w:t>
      </w:r>
      <w:r w:rsidRPr="00633670">
        <w:rPr>
          <w:rFonts w:ascii="Times New Roman" w:hAnsi="Times New Roman" w:cs="Times New Roman"/>
          <w:sz w:val="24"/>
          <w:szCs w:val="24"/>
        </w:rPr>
        <w:t>Szaniawskiego w Jadwisinie, Łacha, Borowa Góra</w:t>
      </w:r>
      <w:r w:rsidR="003C69C3" w:rsidRPr="00633670">
        <w:rPr>
          <w:rFonts w:ascii="Times New Roman" w:hAnsi="Times New Roman" w:cs="Times New Roman"/>
          <w:sz w:val="24"/>
          <w:szCs w:val="24"/>
        </w:rPr>
        <w:t>,</w:t>
      </w:r>
    </w:p>
    <w:p w14:paraId="5A73816C" w14:textId="2E663E41" w:rsidR="00393C44" w:rsidRPr="00633670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670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633670">
        <w:rPr>
          <w:rFonts w:ascii="Times New Roman" w:hAnsi="Times New Roman" w:cs="Times New Roman"/>
          <w:sz w:val="24"/>
          <w:szCs w:val="24"/>
        </w:rPr>
        <w:t xml:space="preserve">w </w:t>
      </w:r>
      <w:r w:rsidR="0084108D" w:rsidRPr="00633670">
        <w:rPr>
          <w:rFonts w:ascii="Times New Roman" w:hAnsi="Times New Roman" w:cs="Times New Roman"/>
          <w:sz w:val="24"/>
          <w:szCs w:val="24"/>
        </w:rPr>
        <w:t>Izbicy, Dosinie</w:t>
      </w:r>
      <w:r w:rsidR="00393C44" w:rsidRPr="00633670">
        <w:rPr>
          <w:rFonts w:ascii="Times New Roman" w:hAnsi="Times New Roman" w:cs="Times New Roman"/>
          <w:sz w:val="24"/>
          <w:szCs w:val="24"/>
        </w:rPr>
        <w:t>.</w:t>
      </w:r>
    </w:p>
    <w:p w14:paraId="6B130E69" w14:textId="77777777" w:rsidR="003C69C3" w:rsidRPr="00633670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AD4436" w14:textId="77777777" w:rsidR="00633670" w:rsidRPr="00633670" w:rsidRDefault="00CB3ECE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8B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33670">
        <w:rPr>
          <w:rFonts w:ascii="Times New Roman" w:hAnsi="Times New Roman" w:cs="Times New Roman"/>
          <w:sz w:val="24"/>
          <w:szCs w:val="24"/>
        </w:rPr>
        <w:t xml:space="preserve">Poszczególne zadania przyjęte w wykazie przedsięwzięć określa załącznik nr 2 do Wieloletniej Prognozy Finansowej Miasta i Gminy Serock. </w:t>
      </w:r>
    </w:p>
    <w:p w14:paraId="09C38864" w14:textId="77777777" w:rsidR="00633670" w:rsidRPr="00633670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7668F" w14:textId="123C2BA9" w:rsidR="00633670" w:rsidRPr="000E11B6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0E11B6">
        <w:rPr>
          <w:rFonts w:ascii="Times New Roman" w:hAnsi="Times New Roman" w:cs="Times New Roman"/>
          <w:sz w:val="24"/>
          <w:szCs w:val="24"/>
        </w:rPr>
        <w:t>W Wieloletniej Prognozie Finansowej dostosowano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E11B6">
        <w:rPr>
          <w:rFonts w:ascii="Times New Roman" w:hAnsi="Times New Roman" w:cs="Times New Roman"/>
          <w:sz w:val="24"/>
          <w:szCs w:val="24"/>
        </w:rPr>
        <w:t xml:space="preserve"> do wykonania budżetu, zgodnie ze sprawozdawczością</w:t>
      </w:r>
      <w:r>
        <w:rPr>
          <w:rFonts w:ascii="Times New Roman" w:hAnsi="Times New Roman" w:cs="Times New Roman"/>
          <w:sz w:val="24"/>
          <w:szCs w:val="24"/>
        </w:rPr>
        <w:t xml:space="preserve"> budżetową</w:t>
      </w:r>
      <w:r w:rsidRPr="000E11B6">
        <w:rPr>
          <w:rFonts w:ascii="Times New Roman" w:hAnsi="Times New Roman" w:cs="Times New Roman"/>
          <w:sz w:val="24"/>
          <w:szCs w:val="24"/>
        </w:rPr>
        <w:t>.</w:t>
      </w:r>
    </w:p>
    <w:p w14:paraId="15A8FCDE" w14:textId="77777777" w:rsidR="00BE0C23" w:rsidRPr="00C308B6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DA4782" w14:textId="58B5FBBC" w:rsidR="00F14B3F" w:rsidRPr="00585426" w:rsidRDefault="00633670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14B3F" w:rsidRPr="00585426">
        <w:rPr>
          <w:rFonts w:ascii="Times New Roman" w:hAnsi="Times New Roman" w:cs="Times New Roman"/>
          <w:sz w:val="24"/>
          <w:szCs w:val="24"/>
        </w:rPr>
        <w:t>W związku z wprowadzonymi zmianami w budżecie zwiększa się plan dochodów na rok 20</w:t>
      </w:r>
      <w:r w:rsidR="00F14B3F">
        <w:rPr>
          <w:rFonts w:ascii="Times New Roman" w:hAnsi="Times New Roman" w:cs="Times New Roman"/>
          <w:sz w:val="24"/>
          <w:szCs w:val="24"/>
        </w:rPr>
        <w:t>21</w:t>
      </w:r>
      <w:r w:rsidR="00F14B3F" w:rsidRPr="00585426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F82C5A">
        <w:rPr>
          <w:rFonts w:ascii="Times New Roman" w:hAnsi="Times New Roman" w:cs="Times New Roman"/>
          <w:b/>
          <w:bCs/>
          <w:sz w:val="24"/>
          <w:szCs w:val="24"/>
        </w:rPr>
        <w:t>841</w:t>
      </w:r>
      <w:r w:rsidR="00F14B3F" w:rsidRPr="00F14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2C5A">
        <w:rPr>
          <w:rFonts w:ascii="Times New Roman" w:hAnsi="Times New Roman" w:cs="Times New Roman"/>
          <w:b/>
          <w:bCs/>
          <w:sz w:val="24"/>
          <w:szCs w:val="24"/>
        </w:rPr>
        <w:t xml:space="preserve">763,00 </w:t>
      </w:r>
      <w:r w:rsidR="00F14B3F" w:rsidRPr="00F14B3F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="00F14B3F" w:rsidRPr="00585426">
        <w:rPr>
          <w:rFonts w:ascii="Times New Roman" w:hAnsi="Times New Roman" w:cs="Times New Roman"/>
          <w:sz w:val="24"/>
          <w:szCs w:val="24"/>
        </w:rPr>
        <w:t>, na którą składa się:</w:t>
      </w:r>
    </w:p>
    <w:p w14:paraId="3EF62430" w14:textId="77777777" w:rsidR="00F14B3F" w:rsidRPr="00585426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16BD" w14:textId="7221C552" w:rsidR="00F14B3F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sz w:val="24"/>
          <w:szCs w:val="24"/>
        </w:rPr>
        <w:t xml:space="preserve">1. zwiększenie dochodów bieżących o kwotę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82C5A">
        <w:rPr>
          <w:rFonts w:ascii="Times New Roman" w:hAnsi="Times New Roman" w:cs="Times New Roman"/>
          <w:bCs/>
          <w:sz w:val="24"/>
          <w:szCs w:val="24"/>
        </w:rPr>
        <w:t>0</w:t>
      </w:r>
      <w:r w:rsidRPr="00585426">
        <w:rPr>
          <w:rFonts w:ascii="Times New Roman" w:hAnsi="Times New Roman" w:cs="Times New Roman"/>
          <w:bCs/>
          <w:sz w:val="24"/>
          <w:szCs w:val="24"/>
        </w:rPr>
        <w:t>.</w:t>
      </w:r>
      <w:r w:rsidR="00F82C5A">
        <w:rPr>
          <w:rFonts w:ascii="Times New Roman" w:hAnsi="Times New Roman" w:cs="Times New Roman"/>
          <w:bCs/>
          <w:sz w:val="24"/>
          <w:szCs w:val="24"/>
        </w:rPr>
        <w:t>875</w:t>
      </w:r>
      <w:r w:rsidRPr="0058542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585426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49715F16" w14:textId="051AF83D" w:rsidR="00F14B3F" w:rsidRPr="007827D7" w:rsidRDefault="00F14B3F" w:rsidP="00F14B3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D7">
        <w:rPr>
          <w:rFonts w:ascii="Times New Roman" w:hAnsi="Times New Roman" w:cs="Times New Roman"/>
          <w:sz w:val="24"/>
          <w:szCs w:val="24"/>
        </w:rPr>
        <w:t>otrzymania informacji o zmianach w planie dotacji na 202</w:t>
      </w:r>
      <w:r w:rsidR="00DB44A4" w:rsidRPr="007827D7">
        <w:rPr>
          <w:rFonts w:ascii="Times New Roman" w:hAnsi="Times New Roman" w:cs="Times New Roman"/>
          <w:sz w:val="24"/>
          <w:szCs w:val="24"/>
        </w:rPr>
        <w:t>1</w:t>
      </w:r>
      <w:r w:rsidRPr="007827D7">
        <w:rPr>
          <w:rFonts w:ascii="Times New Roman" w:hAnsi="Times New Roman" w:cs="Times New Roman"/>
          <w:sz w:val="24"/>
          <w:szCs w:val="24"/>
        </w:rPr>
        <w:t xml:space="preserve">r. z </w:t>
      </w:r>
      <w:bookmarkStart w:id="1" w:name="_Hlk3808091"/>
      <w:r w:rsidRPr="007827D7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1"/>
      <w:r w:rsidRPr="007827D7">
        <w:rPr>
          <w:rFonts w:ascii="Times New Roman" w:hAnsi="Times New Roman" w:cs="Times New Roman"/>
          <w:sz w:val="24"/>
          <w:szCs w:val="24"/>
        </w:rPr>
        <w:t xml:space="preserve">– zwiększenie o łączną kwotę </w:t>
      </w:r>
      <w:r w:rsidR="009A2007" w:rsidRPr="007827D7">
        <w:rPr>
          <w:rFonts w:ascii="Times New Roman" w:hAnsi="Times New Roman" w:cs="Times New Roman"/>
          <w:sz w:val="24"/>
          <w:szCs w:val="24"/>
        </w:rPr>
        <w:t>1</w:t>
      </w:r>
      <w:r w:rsidR="007827D7" w:rsidRPr="007827D7">
        <w:rPr>
          <w:rFonts w:ascii="Times New Roman" w:hAnsi="Times New Roman" w:cs="Times New Roman"/>
          <w:sz w:val="24"/>
          <w:szCs w:val="24"/>
        </w:rPr>
        <w:t>2</w:t>
      </w:r>
      <w:r w:rsidRPr="007827D7">
        <w:rPr>
          <w:rFonts w:ascii="Times New Roman" w:hAnsi="Times New Roman" w:cs="Times New Roman"/>
          <w:sz w:val="24"/>
          <w:szCs w:val="24"/>
        </w:rPr>
        <w:t>.</w:t>
      </w:r>
      <w:r w:rsidR="007827D7" w:rsidRPr="007827D7">
        <w:rPr>
          <w:rFonts w:ascii="Times New Roman" w:hAnsi="Times New Roman" w:cs="Times New Roman"/>
          <w:sz w:val="24"/>
          <w:szCs w:val="24"/>
        </w:rPr>
        <w:t>442</w:t>
      </w:r>
      <w:r w:rsidRPr="007827D7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14:paraId="0D463820" w14:textId="366C7B83" w:rsidR="00257F47" w:rsidRPr="007827D7" w:rsidRDefault="00257F47" w:rsidP="00F14B3F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>sfinansowanie wypłat zryczałtowanych dodatków energetycznych dla odbiorców wrażliwych energii elektrycznej oraz kosztów obsługi tego zadania</w:t>
      </w:r>
      <w:r w:rsidR="007827D7" w:rsidRPr="007827D7">
        <w:rPr>
          <w:rFonts w:ascii="Times New Roman" w:hAnsi="Times New Roman" w:cs="Times New Roman"/>
          <w:sz w:val="24"/>
          <w:szCs w:val="24"/>
        </w:rPr>
        <w:t xml:space="preserve"> realizowanego przez gminę w wysokości 2% łącznej kwoty dotacji wypłaconych w gminie, zgodnie z przepisami ustawy Prawo energetyczne</w:t>
      </w:r>
      <w:r w:rsidRPr="007827D7">
        <w:rPr>
          <w:rFonts w:ascii="Times New Roman" w:hAnsi="Times New Roman" w:cs="Times New Roman"/>
          <w:sz w:val="24"/>
          <w:szCs w:val="24"/>
        </w:rPr>
        <w:t xml:space="preserve"> – zwiększenie o kwotę 114 zł,</w:t>
      </w:r>
    </w:p>
    <w:p w14:paraId="74485572" w14:textId="7FE53E7C" w:rsidR="00257F47" w:rsidRPr="007827D7" w:rsidRDefault="00257F47" w:rsidP="00257F4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>realizację zadań z zakresu administracji rządowej na wypłacanie wynagrodzenia za sprawowanie opieki oraz na obsługę tego zadania, zgodnie z art. 18 ust. 1 pkt 9 oraz ust. 2 i 3 ustawy o pomocy społecznej – zwiększenie o kwotę 508 zł</w:t>
      </w:r>
    </w:p>
    <w:p w14:paraId="1B1AE226" w14:textId="77777777" w:rsidR="007827D7" w:rsidRPr="007827D7" w:rsidRDefault="007827D7" w:rsidP="00F14B3F">
      <w:pPr>
        <w:pStyle w:val="Akapitzlist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>sfinansowanie organizowania i świadczenia specjalistycznych usług opiekuńczych w miejscu zamieszkania dla osób z zaburzeniami psychicznymi, o których mowa w art. 18 ust. 1 pkt 3 oraz ust 2 ustawy o pomocy społecznej – zwiększenie o kwotę 11.820 zł,</w:t>
      </w:r>
    </w:p>
    <w:p w14:paraId="3BC91372" w14:textId="61D05978" w:rsidR="008118ED" w:rsidRPr="007827D7" w:rsidRDefault="008118ED" w:rsidP="008926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 xml:space="preserve">uzyskania środków w wysokości </w:t>
      </w:r>
      <w:r w:rsidR="007827D7" w:rsidRPr="007827D7">
        <w:rPr>
          <w:rFonts w:ascii="Times New Roman" w:hAnsi="Times New Roman" w:cs="Times New Roman"/>
          <w:sz w:val="24"/>
          <w:szCs w:val="24"/>
        </w:rPr>
        <w:t>5</w:t>
      </w:r>
      <w:r w:rsidRPr="007827D7">
        <w:rPr>
          <w:rFonts w:ascii="Times New Roman" w:hAnsi="Times New Roman" w:cs="Times New Roman"/>
          <w:sz w:val="24"/>
          <w:szCs w:val="24"/>
        </w:rPr>
        <w:t>.</w:t>
      </w:r>
      <w:r w:rsidR="007827D7" w:rsidRPr="007827D7">
        <w:rPr>
          <w:rFonts w:ascii="Times New Roman" w:hAnsi="Times New Roman" w:cs="Times New Roman"/>
          <w:sz w:val="24"/>
          <w:szCs w:val="24"/>
        </w:rPr>
        <w:t>000</w:t>
      </w:r>
      <w:r w:rsidRPr="007827D7">
        <w:rPr>
          <w:rFonts w:ascii="Times New Roman" w:hAnsi="Times New Roman" w:cs="Times New Roman"/>
          <w:sz w:val="24"/>
          <w:szCs w:val="24"/>
        </w:rPr>
        <w:t xml:space="preserve"> zł </w:t>
      </w:r>
      <w:r w:rsidR="007827D7" w:rsidRPr="007827D7">
        <w:rPr>
          <w:rFonts w:ascii="Times New Roman" w:hAnsi="Times New Roman" w:cs="Times New Roman"/>
          <w:sz w:val="24"/>
          <w:szCs w:val="24"/>
        </w:rPr>
        <w:t xml:space="preserve">z przeznaczeniem na realizację usług wsparcia na rzecz seniorów, jako grupy najbardziej narażonej na negatywne skutki zakażenia </w:t>
      </w:r>
      <w:proofErr w:type="spellStart"/>
      <w:r w:rsidR="007827D7" w:rsidRPr="007827D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7827D7" w:rsidRPr="007827D7">
        <w:rPr>
          <w:rFonts w:ascii="Times New Roman" w:hAnsi="Times New Roman" w:cs="Times New Roman"/>
          <w:sz w:val="24"/>
          <w:szCs w:val="24"/>
        </w:rPr>
        <w:t xml:space="preserve"> SARS-Vov-2,</w:t>
      </w:r>
    </w:p>
    <w:p w14:paraId="650BA597" w14:textId="381ED704" w:rsidR="007827D7" w:rsidRPr="0082178A" w:rsidRDefault="007827D7" w:rsidP="008926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27D7">
        <w:rPr>
          <w:rFonts w:ascii="Times New Roman" w:hAnsi="Times New Roman" w:cs="Times New Roman"/>
          <w:sz w:val="24"/>
          <w:szCs w:val="24"/>
        </w:rPr>
        <w:t xml:space="preserve">uzyskania środków w wysokości 1.970 zł z przeznaczeniem na transport do punktu szczepień przeciwko wirusowi SARS-CoV-2 osób niepełnosprawnych i osób powyżej 70 </w:t>
      </w:r>
      <w:r w:rsidRPr="0082178A">
        <w:rPr>
          <w:rFonts w:ascii="Times New Roman" w:hAnsi="Times New Roman" w:cs="Times New Roman"/>
          <w:sz w:val="24"/>
          <w:szCs w:val="24"/>
        </w:rPr>
        <w:t>roku życia, mających obiektywne i niemożliwe do przezwyciężenia we własnym zakresie trudności w samodzielnym dotarciu do punktów szczepień, a także na organizację telefonicznego punktu zgłoszeń potrzeb transportowych i informacji o szczepieniach przeciwko SARS-CoV-2 (infolinia) lub gminnego stanowiska koordynatora do spraw szczepień przeciwko SARS-CoV-2,</w:t>
      </w:r>
    </w:p>
    <w:p w14:paraId="122B7857" w14:textId="244925F8" w:rsidR="007827D7" w:rsidRPr="0082178A" w:rsidRDefault="007827D7" w:rsidP="008926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78A">
        <w:rPr>
          <w:rFonts w:ascii="Times New Roman" w:eastAsia="Calibri" w:hAnsi="Times New Roman" w:cs="Times New Roman"/>
          <w:bCs/>
          <w:sz w:val="24"/>
          <w:szCs w:val="24"/>
        </w:rPr>
        <w:t>otrzymania środków w wysokości 2.000 zł w związku z zawarciem umowy z Narodowym Forum Muzyki im. Witolda Lutosławskiego we Wrocławiu dotyczącej pokrycia 50% kosztów pracy dyrygenta zespołu „Słowiki” w Szkole Podstawowej w Zegrzu,</w:t>
      </w:r>
    </w:p>
    <w:p w14:paraId="65B2C371" w14:textId="631D61B9" w:rsidR="00DB44A4" w:rsidRPr="0082178A" w:rsidRDefault="00DB44A4" w:rsidP="007827D7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78A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wysokości </w:t>
      </w:r>
      <w:r w:rsidR="009A2007" w:rsidRPr="0082178A">
        <w:rPr>
          <w:rFonts w:ascii="Times New Roman" w:hAnsi="Times New Roman" w:cs="Times New Roman"/>
          <w:sz w:val="24"/>
          <w:szCs w:val="24"/>
        </w:rPr>
        <w:t>9</w:t>
      </w:r>
      <w:r w:rsidR="007827D7" w:rsidRPr="0082178A">
        <w:rPr>
          <w:rFonts w:ascii="Times New Roman" w:hAnsi="Times New Roman" w:cs="Times New Roman"/>
          <w:sz w:val="24"/>
          <w:szCs w:val="24"/>
        </w:rPr>
        <w:t>.463</w:t>
      </w:r>
      <w:r w:rsidRPr="0082178A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793ADC42" w14:textId="77777777" w:rsidR="007827D7" w:rsidRPr="0082178A" w:rsidRDefault="007827D7" w:rsidP="007827D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494F61" w14:textId="0B734074" w:rsidR="0082178A" w:rsidRPr="0082178A" w:rsidRDefault="00F14B3F" w:rsidP="0082178A">
      <w:pPr>
        <w:pStyle w:val="Akapitzlist"/>
        <w:widowControl w:val="0"/>
        <w:numPr>
          <w:ilvl w:val="0"/>
          <w:numId w:val="3"/>
        </w:numPr>
        <w:tabs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78A">
        <w:rPr>
          <w:rFonts w:ascii="Times New Roman" w:hAnsi="Times New Roman" w:cs="Times New Roman"/>
          <w:sz w:val="24"/>
          <w:szCs w:val="24"/>
        </w:rPr>
        <w:t xml:space="preserve">zwiększenie dochodów majątkowych o kwotę </w:t>
      </w:r>
      <w:r w:rsidR="00F82C5A" w:rsidRPr="0082178A">
        <w:rPr>
          <w:rFonts w:ascii="Times New Roman" w:hAnsi="Times New Roman" w:cs="Times New Roman"/>
          <w:bCs/>
          <w:sz w:val="24"/>
          <w:szCs w:val="24"/>
        </w:rPr>
        <w:t>810</w:t>
      </w:r>
      <w:r w:rsidRPr="0082178A">
        <w:rPr>
          <w:rFonts w:ascii="Times New Roman" w:hAnsi="Times New Roman" w:cs="Times New Roman"/>
          <w:bCs/>
          <w:sz w:val="24"/>
          <w:szCs w:val="24"/>
        </w:rPr>
        <w:t>.</w:t>
      </w:r>
      <w:r w:rsidR="00F82C5A" w:rsidRPr="0082178A">
        <w:rPr>
          <w:rFonts w:ascii="Times New Roman" w:hAnsi="Times New Roman" w:cs="Times New Roman"/>
          <w:bCs/>
          <w:sz w:val="24"/>
          <w:szCs w:val="24"/>
        </w:rPr>
        <w:t>888</w:t>
      </w:r>
      <w:r w:rsidRPr="0082178A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82178A">
        <w:rPr>
          <w:rFonts w:ascii="Times New Roman" w:hAnsi="Times New Roman" w:cs="Times New Roman"/>
          <w:sz w:val="24"/>
          <w:szCs w:val="24"/>
        </w:rPr>
        <w:t xml:space="preserve"> z tytułu u</w:t>
      </w:r>
      <w:r w:rsidRPr="0082178A">
        <w:rPr>
          <w:rFonts w:ascii="Times New Roman" w:hAnsi="Times New Roman" w:cs="Times New Roman"/>
          <w:bCs/>
          <w:sz w:val="24"/>
          <w:szCs w:val="24"/>
        </w:rPr>
        <w:t xml:space="preserve">zyskania środków                            z wpłat za wybudowanie jako inwestor zastępczy, przyłączy kanalizacyjnych </w:t>
      </w:r>
      <w:r w:rsidR="00DB44A4" w:rsidRPr="0082178A">
        <w:rPr>
          <w:rFonts w:ascii="Times New Roman" w:hAnsi="Times New Roman" w:cs="Times New Roman"/>
          <w:bCs/>
          <w:sz w:val="24"/>
          <w:szCs w:val="24"/>
        </w:rPr>
        <w:t xml:space="preserve">oraz uzyskania </w:t>
      </w:r>
      <w:r w:rsidR="0082178A" w:rsidRPr="0082178A">
        <w:rPr>
          <w:rFonts w:ascii="Times New Roman" w:hAnsi="Times New Roman" w:cs="Times New Roman"/>
          <w:sz w:val="24"/>
          <w:szCs w:val="24"/>
        </w:rPr>
        <w:t>dotacji celowej przeznaczonej na realizację projektu pn.: „Uzupełnienie niedoborów w zakresie gospodarki wodno-ściekowej w gminie Serock, poprzez budowę kanalizacji sanitarnej w miejscowości Wierzbica, Borowa Góra – Stasi Las oraz sieci wodociągowej w miejscowości Serock” dofinansowanego ze środków Programu Rozwoju Obszarów Wiejskich na lata 2014-2020</w:t>
      </w:r>
    </w:p>
    <w:p w14:paraId="4FB8150E" w14:textId="77777777" w:rsidR="0082178A" w:rsidRPr="0082178A" w:rsidRDefault="0082178A" w:rsidP="0082178A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D961B8" w14:textId="77777777" w:rsidR="0082178A" w:rsidRDefault="0082178A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5DC7" w14:textId="57658DE7" w:rsidR="00BE0C23" w:rsidRPr="00F14B3F" w:rsidRDefault="007827D7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C23" w:rsidRPr="00F14B3F">
        <w:rPr>
          <w:rFonts w:ascii="Times New Roman" w:hAnsi="Times New Roman" w:cs="Times New Roman"/>
          <w:sz w:val="24"/>
          <w:szCs w:val="24"/>
        </w:rPr>
        <w:t>W związku z wprowadzonymi zmianami w budżecie z</w:t>
      </w:r>
      <w:r w:rsidR="00937A62" w:rsidRPr="00F14B3F">
        <w:rPr>
          <w:rFonts w:ascii="Times New Roman" w:hAnsi="Times New Roman" w:cs="Times New Roman"/>
          <w:sz w:val="24"/>
          <w:szCs w:val="24"/>
        </w:rPr>
        <w:t>większa</w:t>
      </w:r>
      <w:r w:rsidR="00BE0C23" w:rsidRPr="00F14B3F">
        <w:rPr>
          <w:rFonts w:ascii="Times New Roman" w:hAnsi="Times New Roman" w:cs="Times New Roman"/>
          <w:sz w:val="24"/>
          <w:szCs w:val="24"/>
        </w:rPr>
        <w:t xml:space="preserve"> się plan wydatków na rok 202</w:t>
      </w:r>
      <w:r w:rsidR="00937A62" w:rsidRPr="00F14B3F">
        <w:rPr>
          <w:rFonts w:ascii="Times New Roman" w:hAnsi="Times New Roman" w:cs="Times New Roman"/>
          <w:sz w:val="24"/>
          <w:szCs w:val="24"/>
        </w:rPr>
        <w:t>1</w:t>
      </w:r>
      <w:r w:rsidR="00BE0C23" w:rsidRPr="00F14B3F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937A62" w:rsidRPr="00D24E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D24E0A" w:rsidRPr="00D24E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08</w:t>
      </w:r>
      <w:r w:rsidR="00BE0C23" w:rsidRPr="00D24E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D24E0A" w:rsidRPr="00D24E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F82C5A" w:rsidRPr="00D24E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63,00</w:t>
      </w:r>
      <w:r w:rsidR="00BE0C23" w:rsidRPr="00D24E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zł</w:t>
      </w:r>
      <w:r w:rsidR="00BE0C23" w:rsidRPr="00F14B3F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BE0C23" w:rsidRPr="00F14B3F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14:paraId="26BB6673" w14:textId="6220B8F3" w:rsidR="00BE0C23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42E8D" w14:textId="77777777" w:rsidR="007827D7" w:rsidRPr="00F14B3F" w:rsidRDefault="007827D7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045E" w14:textId="7DB4455C" w:rsidR="00BE0C23" w:rsidRPr="00F14B3F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3F">
        <w:rPr>
          <w:rFonts w:ascii="Times New Roman" w:hAnsi="Times New Roman" w:cs="Times New Roman"/>
          <w:sz w:val="24"/>
          <w:szCs w:val="24"/>
        </w:rPr>
        <w:lastRenderedPageBreak/>
        <w:t>1. z</w:t>
      </w:r>
      <w:r w:rsidR="00F82C5A">
        <w:rPr>
          <w:rFonts w:ascii="Times New Roman" w:hAnsi="Times New Roman" w:cs="Times New Roman"/>
          <w:sz w:val="24"/>
          <w:szCs w:val="24"/>
        </w:rPr>
        <w:t>mniejszenie</w:t>
      </w:r>
      <w:r w:rsidRPr="00F14B3F">
        <w:rPr>
          <w:rFonts w:ascii="Times New Roman" w:hAnsi="Times New Roman" w:cs="Times New Roman"/>
          <w:sz w:val="24"/>
          <w:szCs w:val="24"/>
        </w:rPr>
        <w:t xml:space="preserve"> wydatków bieżących o kwotę </w:t>
      </w:r>
      <w:r w:rsidR="00F82C5A" w:rsidRPr="00D24E0A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24E0A" w:rsidRPr="00D24E0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D24E0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24E0A" w:rsidRPr="00D24E0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82C5A" w:rsidRPr="00D24E0A">
        <w:rPr>
          <w:rFonts w:ascii="Times New Roman" w:hAnsi="Times New Roman" w:cs="Times New Roman"/>
          <w:color w:val="FF0000"/>
          <w:sz w:val="24"/>
          <w:szCs w:val="24"/>
        </w:rPr>
        <w:t>87,00</w:t>
      </w:r>
      <w:r w:rsidRPr="00D24E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4B3F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44F28C00" w14:textId="2CA18ED5" w:rsidR="00BE0C23" w:rsidRPr="00F14B3F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4B3F">
        <w:rPr>
          <w:rFonts w:ascii="Times New Roman" w:hAnsi="Times New Roman" w:cs="Times New Roman"/>
          <w:sz w:val="24"/>
          <w:szCs w:val="24"/>
        </w:rPr>
        <w:t>2. z</w:t>
      </w:r>
      <w:r w:rsidR="00937A62" w:rsidRPr="00F14B3F">
        <w:rPr>
          <w:rFonts w:ascii="Times New Roman" w:hAnsi="Times New Roman" w:cs="Times New Roman"/>
          <w:sz w:val="24"/>
          <w:szCs w:val="24"/>
        </w:rPr>
        <w:t>większenie</w:t>
      </w:r>
      <w:r w:rsidRPr="00F14B3F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F82C5A">
        <w:rPr>
          <w:rFonts w:ascii="Times New Roman" w:hAnsi="Times New Roman" w:cs="Times New Roman"/>
          <w:sz w:val="24"/>
          <w:szCs w:val="24"/>
        </w:rPr>
        <w:t>304</w:t>
      </w:r>
      <w:r w:rsidRPr="00F14B3F">
        <w:rPr>
          <w:rFonts w:ascii="Times New Roman" w:hAnsi="Times New Roman" w:cs="Times New Roman"/>
          <w:sz w:val="24"/>
          <w:szCs w:val="24"/>
        </w:rPr>
        <w:t>.</w:t>
      </w:r>
      <w:r w:rsidR="00F82C5A">
        <w:rPr>
          <w:rFonts w:ascii="Times New Roman" w:hAnsi="Times New Roman" w:cs="Times New Roman"/>
          <w:sz w:val="24"/>
          <w:szCs w:val="24"/>
        </w:rPr>
        <w:t>250</w:t>
      </w:r>
      <w:r w:rsidRPr="00F14B3F">
        <w:rPr>
          <w:rFonts w:ascii="Times New Roman" w:hAnsi="Times New Roman" w:cs="Times New Roman"/>
          <w:sz w:val="24"/>
          <w:szCs w:val="24"/>
        </w:rPr>
        <w:t xml:space="preserve"> zł, dostosowując nakłady finansowe do przewidywanego wykonania wydatków inwestycyjnych.</w:t>
      </w:r>
    </w:p>
    <w:p w14:paraId="44E74583" w14:textId="77777777" w:rsidR="00F90C62" w:rsidRPr="00F14B3F" w:rsidRDefault="00F90C62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D9900" w14:textId="58016783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4B3F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F82C5A">
        <w:rPr>
          <w:rFonts w:ascii="Times New Roman" w:hAnsi="Times New Roman" w:cs="Times New Roman"/>
          <w:sz w:val="24"/>
          <w:szCs w:val="24"/>
        </w:rPr>
        <w:t>mniejsza</w:t>
      </w:r>
      <w:r w:rsidRPr="00F14B3F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F82C5A" w:rsidRPr="00D24E0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D24E0A" w:rsidRPr="00D24E0A">
        <w:rPr>
          <w:rFonts w:ascii="Times New Roman" w:hAnsi="Times New Roman" w:cs="Times New Roman"/>
          <w:color w:val="FF0000"/>
          <w:sz w:val="24"/>
          <w:szCs w:val="24"/>
        </w:rPr>
        <w:t>33</w:t>
      </w:r>
      <w:r w:rsidRPr="00D24E0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24E0A" w:rsidRPr="00D24E0A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82C5A" w:rsidRPr="00D24E0A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D24E0A">
        <w:rPr>
          <w:rFonts w:ascii="Times New Roman" w:hAnsi="Times New Roman" w:cs="Times New Roman"/>
          <w:color w:val="FF0000"/>
          <w:sz w:val="24"/>
          <w:szCs w:val="24"/>
        </w:rPr>
        <w:t xml:space="preserve"> zł</w:t>
      </w:r>
      <w:r w:rsidRPr="00F14B3F">
        <w:rPr>
          <w:rFonts w:ascii="Times New Roman" w:hAnsi="Times New Roman" w:cs="Times New Roman"/>
          <w:sz w:val="24"/>
          <w:szCs w:val="24"/>
        </w:rPr>
        <w:t>.</w:t>
      </w:r>
    </w:p>
    <w:p w14:paraId="72199981" w14:textId="77777777" w:rsidR="00BE0C23" w:rsidRPr="00C308B6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B22DB61" w14:textId="77777777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B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14B3F">
        <w:rPr>
          <w:rFonts w:ascii="Times New Roman" w:hAnsi="Times New Roman" w:cs="Times New Roman"/>
          <w:sz w:val="24"/>
          <w:szCs w:val="24"/>
        </w:rPr>
        <w:t>Dokonuje się zmian w załączniku nr 2 polegających na dostosowaniu łącznych nakładów finansowych do potrzeb w następujących przedsięwzięciach:</w:t>
      </w:r>
    </w:p>
    <w:p w14:paraId="6346F945" w14:textId="77777777" w:rsidR="00BE0C23" w:rsidRPr="00F14B3F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D5AE86" w14:textId="77777777" w:rsidR="00BE0C23" w:rsidRPr="00AC5621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C5621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AC5621">
        <w:rPr>
          <w:rFonts w:ascii="Times New Roman" w:hAnsi="Times New Roman" w:cs="Times New Roman"/>
          <w:sz w:val="24"/>
          <w:szCs w:val="24"/>
        </w:rPr>
        <w:t>:</w:t>
      </w:r>
    </w:p>
    <w:p w14:paraId="3A72515A" w14:textId="6966FDAD" w:rsidR="009E71F3" w:rsidRPr="00C83C50" w:rsidRDefault="003E2ED0" w:rsidP="00C83C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C50">
        <w:rPr>
          <w:rFonts w:ascii="Times New Roman" w:hAnsi="Times New Roman" w:cs="Times New Roman"/>
          <w:sz w:val="24"/>
          <w:szCs w:val="24"/>
        </w:rPr>
        <w:t>„</w:t>
      </w:r>
      <w:r w:rsidR="009E71F3" w:rsidRPr="00C83C50">
        <w:rPr>
          <w:rFonts w:ascii="Times New Roman" w:hAnsi="Times New Roman" w:cs="Times New Roman"/>
          <w:sz w:val="24"/>
          <w:szCs w:val="24"/>
        </w:rPr>
        <w:t xml:space="preserve">Program polityki zdrowotnej w zakresie rehabilitacji leczniczej mieszkańców Miasta </w:t>
      </w:r>
      <w:r w:rsidR="00C83C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71F3" w:rsidRPr="00C83C50">
        <w:rPr>
          <w:rFonts w:ascii="Times New Roman" w:hAnsi="Times New Roman" w:cs="Times New Roman"/>
          <w:sz w:val="24"/>
          <w:szCs w:val="24"/>
        </w:rPr>
        <w:t xml:space="preserve">i Gminy Serock” </w:t>
      </w:r>
      <w:r w:rsidR="00E719E0" w:rsidRPr="00C83C50">
        <w:rPr>
          <w:rFonts w:ascii="Times New Roman" w:hAnsi="Times New Roman" w:cs="Times New Roman"/>
          <w:sz w:val="24"/>
          <w:szCs w:val="24"/>
        </w:rPr>
        <w:t xml:space="preserve">– zwiększa się nakłady finansowe </w:t>
      </w:r>
      <w:r w:rsidR="00AC5621" w:rsidRPr="00C83C50">
        <w:rPr>
          <w:rFonts w:ascii="Times New Roman" w:hAnsi="Times New Roman" w:cs="Times New Roman"/>
          <w:sz w:val="24"/>
          <w:szCs w:val="24"/>
        </w:rPr>
        <w:t xml:space="preserve">w roku 2021 </w:t>
      </w:r>
      <w:r w:rsidR="00E719E0" w:rsidRPr="00C83C50">
        <w:rPr>
          <w:rFonts w:ascii="Times New Roman" w:hAnsi="Times New Roman" w:cs="Times New Roman"/>
          <w:sz w:val="24"/>
          <w:szCs w:val="24"/>
        </w:rPr>
        <w:t xml:space="preserve">o kwotę </w:t>
      </w:r>
      <w:r w:rsidR="009E71F3" w:rsidRPr="00C83C50">
        <w:rPr>
          <w:rFonts w:ascii="Times New Roman" w:hAnsi="Times New Roman" w:cs="Times New Roman"/>
          <w:sz w:val="24"/>
          <w:szCs w:val="24"/>
        </w:rPr>
        <w:t>50</w:t>
      </w:r>
      <w:r w:rsidR="00E719E0" w:rsidRPr="00C83C50">
        <w:rPr>
          <w:rFonts w:ascii="Times New Roman" w:hAnsi="Times New Roman" w:cs="Times New Roman"/>
          <w:sz w:val="24"/>
          <w:szCs w:val="24"/>
        </w:rPr>
        <w:t>.</w:t>
      </w:r>
      <w:r w:rsidR="009E71F3" w:rsidRPr="00C83C50">
        <w:rPr>
          <w:rFonts w:ascii="Times New Roman" w:hAnsi="Times New Roman" w:cs="Times New Roman"/>
          <w:sz w:val="24"/>
          <w:szCs w:val="24"/>
        </w:rPr>
        <w:t>000</w:t>
      </w:r>
      <w:r w:rsidR="00E719E0" w:rsidRPr="00C83C50">
        <w:rPr>
          <w:rFonts w:ascii="Times New Roman" w:hAnsi="Times New Roman" w:cs="Times New Roman"/>
          <w:sz w:val="24"/>
          <w:szCs w:val="24"/>
        </w:rPr>
        <w:t xml:space="preserve"> zł,</w:t>
      </w:r>
      <w:r w:rsidR="00E719E0" w:rsidRPr="00C83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C50" w:rsidRPr="00C83C50">
        <w:rPr>
          <w:rFonts w:ascii="Times New Roman" w:hAnsi="Times New Roman" w:cs="Times New Roman"/>
          <w:bCs/>
          <w:sz w:val="24"/>
          <w:szCs w:val="24"/>
        </w:rPr>
        <w:t>w związku z dużym</w:t>
      </w:r>
      <w:r w:rsidR="00C83C50" w:rsidRPr="00C83C50">
        <w:rPr>
          <w:rFonts w:ascii="Times New Roman" w:hAnsi="Times New Roman" w:cs="Times New Roman"/>
          <w:sz w:val="24"/>
          <w:szCs w:val="24"/>
        </w:rPr>
        <w:t xml:space="preserve"> zainteresowaniem w/w programem wśród mieszkańców gminy, </w:t>
      </w:r>
      <w:r w:rsidR="00C83C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3C50" w:rsidRPr="00C83C50">
        <w:rPr>
          <w:rFonts w:ascii="Times New Roman" w:hAnsi="Times New Roman" w:cs="Times New Roman"/>
          <w:sz w:val="24"/>
          <w:szCs w:val="24"/>
        </w:rPr>
        <w:t>a środki finansowe zabezpieczone w pierwotnej wysokości są niewystarczające,</w:t>
      </w:r>
    </w:p>
    <w:p w14:paraId="78CDF89B" w14:textId="5E999D43" w:rsidR="00070CDA" w:rsidRPr="00C83C50" w:rsidRDefault="00070CDA" w:rsidP="00C83C50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C50">
        <w:rPr>
          <w:rFonts w:ascii="Times New Roman" w:hAnsi="Times New Roman" w:cs="Times New Roman"/>
          <w:sz w:val="24"/>
          <w:szCs w:val="24"/>
        </w:rPr>
        <w:t>„Zimowe utrzymanie dróg i chodników na terenie Miasta i Gminy Serock w sezonie zimowym 2020/2021”</w:t>
      </w:r>
      <w:r w:rsidR="00AF4271" w:rsidRPr="00C83C50">
        <w:rPr>
          <w:rFonts w:ascii="Times New Roman" w:hAnsi="Times New Roman" w:cs="Times New Roman"/>
          <w:sz w:val="24"/>
          <w:szCs w:val="24"/>
        </w:rPr>
        <w:t xml:space="preserve"> – z</w:t>
      </w:r>
      <w:r w:rsidR="009E71F3" w:rsidRPr="00C83C50">
        <w:rPr>
          <w:rFonts w:ascii="Times New Roman" w:hAnsi="Times New Roman" w:cs="Times New Roman"/>
          <w:sz w:val="24"/>
          <w:szCs w:val="24"/>
        </w:rPr>
        <w:t>mniejsza</w:t>
      </w:r>
      <w:r w:rsidR="00AF4271" w:rsidRPr="00C83C50">
        <w:rPr>
          <w:rFonts w:ascii="Times New Roman" w:hAnsi="Times New Roman" w:cs="Times New Roman"/>
          <w:sz w:val="24"/>
          <w:szCs w:val="24"/>
        </w:rPr>
        <w:t xml:space="preserve"> się nakłady o kwotę </w:t>
      </w:r>
      <w:r w:rsidR="009E71F3" w:rsidRPr="00C83C50">
        <w:rPr>
          <w:rFonts w:ascii="Times New Roman" w:hAnsi="Times New Roman" w:cs="Times New Roman"/>
          <w:sz w:val="24"/>
          <w:szCs w:val="24"/>
        </w:rPr>
        <w:t>302.035,90</w:t>
      </w:r>
      <w:r w:rsidR="00AF4271" w:rsidRPr="00C83C50">
        <w:rPr>
          <w:rFonts w:ascii="Times New Roman" w:hAnsi="Times New Roman" w:cs="Times New Roman"/>
          <w:sz w:val="24"/>
          <w:szCs w:val="24"/>
        </w:rPr>
        <w:t xml:space="preserve"> zł, </w:t>
      </w:r>
      <w:r w:rsidR="00C83C50" w:rsidRPr="00C83C50">
        <w:rPr>
          <w:rFonts w:ascii="Times New Roman" w:hAnsi="Times New Roman" w:cs="Times New Roman"/>
          <w:bCs/>
          <w:sz w:val="24"/>
          <w:szCs w:val="24"/>
        </w:rPr>
        <w:t xml:space="preserve">w związku </w:t>
      </w:r>
      <w:r w:rsidR="00C83C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C83C50" w:rsidRPr="00C83C50">
        <w:rPr>
          <w:rFonts w:ascii="Times New Roman" w:hAnsi="Times New Roman" w:cs="Times New Roman"/>
          <w:bCs/>
          <w:sz w:val="24"/>
          <w:szCs w:val="24"/>
        </w:rPr>
        <w:t>z niższymi kosztami realizacji przedsięwzięcia, z uwagi na sprzyjające warunki atmosferyczne,</w:t>
      </w:r>
    </w:p>
    <w:p w14:paraId="23C71615" w14:textId="77777777" w:rsidR="00BE0C23" w:rsidRPr="00C83C50" w:rsidRDefault="00BE0C23" w:rsidP="00C83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2B2A127" w14:textId="77777777" w:rsidR="00BE0C23" w:rsidRPr="00C97A47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C97A47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C97A47">
        <w:rPr>
          <w:rFonts w:ascii="Times New Roman" w:hAnsi="Times New Roman" w:cs="Times New Roman"/>
          <w:sz w:val="24"/>
          <w:szCs w:val="24"/>
        </w:rPr>
        <w:t>:</w:t>
      </w:r>
    </w:p>
    <w:p w14:paraId="19DD0F51" w14:textId="77777777" w:rsidR="00BE0C23" w:rsidRPr="00C97A47" w:rsidRDefault="00BE0C23" w:rsidP="00BE0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2AE96" w14:textId="2175173D" w:rsidR="006A4B06" w:rsidRPr="00C97A47" w:rsidRDefault="003E2ED0" w:rsidP="004A7F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A47">
        <w:rPr>
          <w:rFonts w:ascii="Times New Roman" w:hAnsi="Times New Roman" w:cs="Times New Roman"/>
          <w:sz w:val="24"/>
          <w:szCs w:val="24"/>
        </w:rPr>
        <w:t>„</w:t>
      </w:r>
      <w:r w:rsidR="00C431AE" w:rsidRPr="00C97A47">
        <w:rPr>
          <w:rFonts w:ascii="Times New Roman" w:hAnsi="Times New Roman" w:cs="Times New Roman"/>
          <w:sz w:val="24"/>
          <w:szCs w:val="24"/>
        </w:rPr>
        <w:t xml:space="preserve">Regionalne partnerstwo samorządów Mazowsza dla aktywizacji społeczeństwa informacyjnego w zakresie e-administracji i </w:t>
      </w:r>
      <w:proofErr w:type="spellStart"/>
      <w:r w:rsidR="00C431AE" w:rsidRPr="00C97A47">
        <w:rPr>
          <w:rFonts w:ascii="Times New Roman" w:hAnsi="Times New Roman" w:cs="Times New Roman"/>
          <w:sz w:val="24"/>
          <w:szCs w:val="24"/>
        </w:rPr>
        <w:t>geoinformacji</w:t>
      </w:r>
      <w:proofErr w:type="spellEnd"/>
      <w:r w:rsidR="00C431AE" w:rsidRPr="00C97A47">
        <w:rPr>
          <w:rFonts w:ascii="Times New Roman" w:hAnsi="Times New Roman" w:cs="Times New Roman"/>
          <w:sz w:val="24"/>
          <w:szCs w:val="24"/>
        </w:rPr>
        <w:t xml:space="preserve">” – </w:t>
      </w:r>
      <w:r w:rsidR="006A4B06" w:rsidRPr="00C97A47">
        <w:rPr>
          <w:rFonts w:ascii="Times New Roman" w:hAnsi="Times New Roman" w:cs="Times New Roman"/>
          <w:sz w:val="24"/>
          <w:szCs w:val="24"/>
        </w:rPr>
        <w:t>z uwagi na przesuni</w:t>
      </w:r>
      <w:r w:rsidR="00C97A47" w:rsidRPr="00C97A47">
        <w:rPr>
          <w:rFonts w:ascii="Times New Roman" w:hAnsi="Times New Roman" w:cs="Times New Roman"/>
          <w:sz w:val="24"/>
          <w:szCs w:val="24"/>
        </w:rPr>
        <w:t>ę</w:t>
      </w:r>
      <w:r w:rsidR="006A4B06" w:rsidRPr="00C97A47">
        <w:rPr>
          <w:rFonts w:ascii="Times New Roman" w:hAnsi="Times New Roman" w:cs="Times New Roman"/>
          <w:sz w:val="24"/>
          <w:szCs w:val="24"/>
        </w:rPr>
        <w:t>cie procedur przetargowych oraz wzrost wkładu własnego gminy</w:t>
      </w:r>
      <w:r w:rsidR="004A7F34" w:rsidRPr="00C97A47">
        <w:rPr>
          <w:rFonts w:ascii="Times New Roman" w:hAnsi="Times New Roman" w:cs="Times New Roman"/>
          <w:sz w:val="24"/>
          <w:szCs w:val="24"/>
        </w:rPr>
        <w:t>,</w:t>
      </w:r>
      <w:r w:rsidR="006A4B06" w:rsidRPr="00C97A47">
        <w:rPr>
          <w:rFonts w:ascii="Times New Roman" w:hAnsi="Times New Roman" w:cs="Times New Roman"/>
          <w:sz w:val="24"/>
          <w:szCs w:val="24"/>
        </w:rPr>
        <w:t xml:space="preserve"> </w:t>
      </w:r>
      <w:r w:rsidR="00C431AE" w:rsidRPr="00C97A47">
        <w:rPr>
          <w:rFonts w:ascii="Times New Roman" w:hAnsi="Times New Roman" w:cs="Times New Roman"/>
          <w:sz w:val="24"/>
          <w:szCs w:val="24"/>
        </w:rPr>
        <w:t xml:space="preserve">zwiększa się nakłady </w:t>
      </w:r>
      <w:r w:rsidR="00B912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31AE" w:rsidRPr="00C97A47">
        <w:rPr>
          <w:rFonts w:ascii="Times New Roman" w:hAnsi="Times New Roman" w:cs="Times New Roman"/>
          <w:sz w:val="24"/>
          <w:szCs w:val="24"/>
        </w:rPr>
        <w:t>o łączną kwotę 20.422,52 zł oraz</w:t>
      </w:r>
      <w:r w:rsidR="006A4B06" w:rsidRPr="00C97A47">
        <w:rPr>
          <w:rFonts w:ascii="Times New Roman" w:hAnsi="Times New Roman" w:cs="Times New Roman"/>
          <w:sz w:val="24"/>
          <w:szCs w:val="24"/>
        </w:rPr>
        <w:t xml:space="preserve"> wydłuża okres realizacji przedsięwzięcia do roku 2022, </w:t>
      </w:r>
    </w:p>
    <w:p w14:paraId="0DB651C8" w14:textId="6BC2CAEF" w:rsidR="00070CDA" w:rsidRPr="00C97A47" w:rsidRDefault="004A7F34" w:rsidP="004A7F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A47">
        <w:rPr>
          <w:rFonts w:ascii="Times New Roman" w:hAnsi="Times New Roman" w:cs="Times New Roman"/>
          <w:sz w:val="24"/>
          <w:szCs w:val="24"/>
        </w:rPr>
        <w:t>„Budowa stacji uzdatniania wody Serock, ul. Nasielska” - zwiększa się nakłady w roku 2021 o kwotę 80.000 zł</w:t>
      </w:r>
      <w:r w:rsidR="00C97A47" w:rsidRPr="00C97A47">
        <w:rPr>
          <w:rFonts w:ascii="Times New Roman" w:hAnsi="Times New Roman" w:cs="Times New Roman"/>
          <w:bCs/>
          <w:sz w:val="24"/>
          <w:szCs w:val="24"/>
        </w:rPr>
        <w:t xml:space="preserve"> w związku z koniecznością wykonania dodatkowych robót polegających na wykonaniu odwodnienia terenu, daszka nad schodami oraz zamontowania dodatkowej pompy awaryjnej do popłuczyn.</w:t>
      </w:r>
    </w:p>
    <w:sectPr w:rsidR="00070CDA" w:rsidRPr="00C97A47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C42B" w14:textId="77777777" w:rsidR="00C54FEE" w:rsidRDefault="00C54FEE" w:rsidP="008C3ED4">
      <w:pPr>
        <w:spacing w:after="0" w:line="240" w:lineRule="auto"/>
      </w:pPr>
      <w:r>
        <w:separator/>
      </w:r>
    </w:p>
  </w:endnote>
  <w:endnote w:type="continuationSeparator" w:id="0">
    <w:p w14:paraId="6BAB6FE2" w14:textId="77777777" w:rsidR="00C54FEE" w:rsidRDefault="00C54FEE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BE3D" w14:textId="77777777" w:rsidR="00C54FEE" w:rsidRDefault="00C54FEE" w:rsidP="008C3ED4">
      <w:pPr>
        <w:spacing w:after="0" w:line="240" w:lineRule="auto"/>
      </w:pPr>
      <w:r>
        <w:separator/>
      </w:r>
    </w:p>
  </w:footnote>
  <w:footnote w:type="continuationSeparator" w:id="0">
    <w:p w14:paraId="225DF5C8" w14:textId="77777777" w:rsidR="00C54FEE" w:rsidRDefault="00C54FEE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113561C2"/>
    <w:multiLevelType w:val="hybridMultilevel"/>
    <w:tmpl w:val="29E20FF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753"/>
    <w:multiLevelType w:val="hybridMultilevel"/>
    <w:tmpl w:val="A8263C3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1B34"/>
    <w:multiLevelType w:val="hybridMultilevel"/>
    <w:tmpl w:val="D7B02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078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83473"/>
    <w:multiLevelType w:val="hybridMultilevel"/>
    <w:tmpl w:val="BA40BA16"/>
    <w:lvl w:ilvl="0" w:tplc="7E7E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64310"/>
    <w:multiLevelType w:val="hybridMultilevel"/>
    <w:tmpl w:val="FCFE2CEC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3D192AE7"/>
    <w:multiLevelType w:val="hybridMultilevel"/>
    <w:tmpl w:val="5390531A"/>
    <w:lvl w:ilvl="0" w:tplc="CE449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E01611"/>
    <w:multiLevelType w:val="hybridMultilevel"/>
    <w:tmpl w:val="7B446F5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92BAC"/>
    <w:multiLevelType w:val="hybridMultilevel"/>
    <w:tmpl w:val="26166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81E90"/>
    <w:multiLevelType w:val="hybridMultilevel"/>
    <w:tmpl w:val="4B8214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1B99"/>
    <w:multiLevelType w:val="hybridMultilevel"/>
    <w:tmpl w:val="8CB695E0"/>
    <w:lvl w:ilvl="0" w:tplc="CE449FF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9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18"/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43F8B"/>
    <w:rsid w:val="000503D2"/>
    <w:rsid w:val="00070CDA"/>
    <w:rsid w:val="000A5A24"/>
    <w:rsid w:val="000F216E"/>
    <w:rsid w:val="00175204"/>
    <w:rsid w:val="001B4328"/>
    <w:rsid w:val="00221AED"/>
    <w:rsid w:val="00257F47"/>
    <w:rsid w:val="00262C5C"/>
    <w:rsid w:val="0029581A"/>
    <w:rsid w:val="002D4133"/>
    <w:rsid w:val="003045FF"/>
    <w:rsid w:val="00334674"/>
    <w:rsid w:val="00340D02"/>
    <w:rsid w:val="003453F9"/>
    <w:rsid w:val="00393C44"/>
    <w:rsid w:val="003B7BFD"/>
    <w:rsid w:val="003C69C3"/>
    <w:rsid w:val="003E2ED0"/>
    <w:rsid w:val="004063F5"/>
    <w:rsid w:val="00434213"/>
    <w:rsid w:val="0047660D"/>
    <w:rsid w:val="004940A6"/>
    <w:rsid w:val="004A2933"/>
    <w:rsid w:val="004A77A1"/>
    <w:rsid w:val="004A7F34"/>
    <w:rsid w:val="00526428"/>
    <w:rsid w:val="0056248E"/>
    <w:rsid w:val="005802CC"/>
    <w:rsid w:val="005A062E"/>
    <w:rsid w:val="005C7A85"/>
    <w:rsid w:val="00633670"/>
    <w:rsid w:val="006510AA"/>
    <w:rsid w:val="006650ED"/>
    <w:rsid w:val="00666063"/>
    <w:rsid w:val="00673333"/>
    <w:rsid w:val="006A4B06"/>
    <w:rsid w:val="006B612F"/>
    <w:rsid w:val="006C652E"/>
    <w:rsid w:val="007357A9"/>
    <w:rsid w:val="0077176E"/>
    <w:rsid w:val="007827D7"/>
    <w:rsid w:val="007B1F43"/>
    <w:rsid w:val="008118ED"/>
    <w:rsid w:val="0082178A"/>
    <w:rsid w:val="008307E5"/>
    <w:rsid w:val="0084108D"/>
    <w:rsid w:val="00854B89"/>
    <w:rsid w:val="00874FFE"/>
    <w:rsid w:val="008926BE"/>
    <w:rsid w:val="008A44BA"/>
    <w:rsid w:val="008C3ED4"/>
    <w:rsid w:val="008E26C3"/>
    <w:rsid w:val="00924DC1"/>
    <w:rsid w:val="00934ECC"/>
    <w:rsid w:val="00937A62"/>
    <w:rsid w:val="00995D6F"/>
    <w:rsid w:val="009A2007"/>
    <w:rsid w:val="009B41AD"/>
    <w:rsid w:val="009C5BFF"/>
    <w:rsid w:val="009E4418"/>
    <w:rsid w:val="009E71F3"/>
    <w:rsid w:val="00AC5621"/>
    <w:rsid w:val="00AF4271"/>
    <w:rsid w:val="00B36A37"/>
    <w:rsid w:val="00B912BC"/>
    <w:rsid w:val="00BE0C23"/>
    <w:rsid w:val="00BF15B7"/>
    <w:rsid w:val="00C06578"/>
    <w:rsid w:val="00C308B6"/>
    <w:rsid w:val="00C431AE"/>
    <w:rsid w:val="00C54FEE"/>
    <w:rsid w:val="00C83C50"/>
    <w:rsid w:val="00C97A47"/>
    <w:rsid w:val="00CB3ECE"/>
    <w:rsid w:val="00CD52F2"/>
    <w:rsid w:val="00D171C1"/>
    <w:rsid w:val="00D24E0A"/>
    <w:rsid w:val="00D72317"/>
    <w:rsid w:val="00D83928"/>
    <w:rsid w:val="00D92EF2"/>
    <w:rsid w:val="00DB44A4"/>
    <w:rsid w:val="00DF2601"/>
    <w:rsid w:val="00E05932"/>
    <w:rsid w:val="00E719E0"/>
    <w:rsid w:val="00E75A05"/>
    <w:rsid w:val="00E86F34"/>
    <w:rsid w:val="00F06A45"/>
    <w:rsid w:val="00F14B3F"/>
    <w:rsid w:val="00F3161A"/>
    <w:rsid w:val="00F82C5A"/>
    <w:rsid w:val="00F90C62"/>
    <w:rsid w:val="00FC397B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F6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774-F506-4E99-A1AB-CF72E3D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43</cp:revision>
  <cp:lastPrinted>2021-03-18T10:47:00Z</cp:lastPrinted>
  <dcterms:created xsi:type="dcterms:W3CDTF">2020-11-05T11:21:00Z</dcterms:created>
  <dcterms:modified xsi:type="dcterms:W3CDTF">2021-04-19T08:30:00Z</dcterms:modified>
</cp:coreProperties>
</file>